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4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1700F8" w:rsidRPr="00026854" w:rsidRDefault="001700F8" w:rsidP="001700F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1700F8" w:rsidRPr="00026854" w:rsidRDefault="001700F8" w:rsidP="001700F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1700F8" w:rsidRPr="00026854" w:rsidRDefault="001700F8" w:rsidP="00170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F8" w:rsidRPr="00026854" w:rsidRDefault="001700F8" w:rsidP="0017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1700F8" w:rsidRPr="00026854" w:rsidRDefault="001700F8" w:rsidP="0017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1700F8" w:rsidRPr="00026854" w:rsidRDefault="001700F8" w:rsidP="0017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0F8" w:rsidRPr="00026854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1700F8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00F8" w:rsidRPr="00026854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1700F8" w:rsidRPr="00026854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1700F8" w:rsidRPr="00026854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1700F8" w:rsidRPr="00026854" w:rsidRDefault="001700F8" w:rsidP="001700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00F8" w:rsidRPr="00026854" w:rsidRDefault="001700F8" w:rsidP="001700F8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1700F8" w:rsidRPr="00026854" w:rsidRDefault="001700F8" w:rsidP="001700F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1700F8" w:rsidRPr="00026854" w:rsidRDefault="001700F8" w:rsidP="001700F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1700F8" w:rsidRDefault="001700F8" w:rsidP="00307974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307974" w:rsidRPr="00FB19F9" w:rsidRDefault="00307974" w:rsidP="00307974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lastRenderedPageBreak/>
        <w:t>Громадянська освіта</w:t>
      </w:r>
    </w:p>
    <w:p w:rsidR="00307974" w:rsidRPr="00FB19F9" w:rsidRDefault="00307974" w:rsidP="00307974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2019/2020  навчальному році в закладах загальної середньої освіти у 10 класах продовжується вивчення  інтегрованого курсу «Громадянська освіта». 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Зміст громадянської освіти передбачає інтеграцію соціально-гуманітарних знань та орієнтацію на розв’язання практичних проблем, інтегративних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громадянознавчих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знань.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Запровадження громадянської освіти є забезпечення мінімальної функціональної громадянської освіченості індивіда. Цієї мети можна досягти, лише застосовуючи «багатовекторний» підхід, тобто зосередивши увагу на кількох ключових моментах. Перш за все, учнівську молодь необхідно озброїти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компетентностями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необхідними для участі в житті суспільства на всіх рівнях, що передбачає, насамперед, здатність реалізовувати свої права й свободи, поважаючи при цьому права й свободи інших громадян, а також діяти у відповідності до власних переконань і цінностей. Надзвичайно важливо сформувати в молодих громадян України повагу до прав людини, плюралізму та демократії, верховенства закону, виховати в них неприйняття насильства, ксенофобії, расизму, агресії, нетерпимості.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Зміст програми з громадянської освіти не містить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узагальнення і тематичного контролю. Тому вчитель на свій розсуд може (за необхідності) планувати такі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уроки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оскільки програма не містить розподілу навчального матеріалу за годинами.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Під час розподілу навантаження варто надавати перевагу вчителям історії та правознавства, як викладачам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курсу «Громадянська освіта».  </w:t>
      </w:r>
    </w:p>
    <w:p w:rsidR="00307974" w:rsidRPr="00FB19F9" w:rsidRDefault="00307974" w:rsidP="00307974">
      <w:pPr>
        <w:widowControl w:val="0"/>
        <w:shd w:val="clear" w:color="auto" w:fill="FFFFFF"/>
        <w:spacing w:after="0" w:line="22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Cs/>
          <w:color w:val="333333"/>
          <w:spacing w:val="-4"/>
          <w:sz w:val="24"/>
          <w:szCs w:val="24"/>
          <w:bdr w:val="none" w:sz="0" w:space="0" w:color="auto" w:frame="1"/>
          <w:lang w:eastAsia="uk-UA"/>
        </w:rPr>
        <w:t>Всеукраїнською Асоціацією викладачів історії та суспільних дисциплін «Нова Доба»</w:t>
      </w:r>
      <w:r w:rsidRPr="00FB19F9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uk-UA"/>
        </w:rPr>
        <w:t>, на основі багаторічного досвіду імплементації освіти для демократичного громадянства в Україні, створено</w:t>
      </w:r>
      <w:r w:rsidRPr="00FB19F9">
        <w:rPr>
          <w:rFonts w:ascii="Times New Roman" w:eastAsia="Times New Roman" w:hAnsi="Times New Roman" w:cs="Times New Roman"/>
          <w:bCs/>
          <w:color w:val="333333"/>
          <w:spacing w:val="-4"/>
          <w:sz w:val="24"/>
          <w:szCs w:val="24"/>
          <w:bdr w:val="none" w:sz="0" w:space="0" w:color="auto" w:frame="1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онлайн-платформу підручника нового інтегрованого курсу під назвою «Громадянська освіта». Підручник з громадянської освіти містить 7 розділів, що висвітлюють особливості життя і діяльності людини у демократичному суспільстві. Кожен розділ складається з низки тем, що визначають окремі заняття. Текст підручника, викладений на цій онлайн-платформі, постійно доповнюється різними навчальними матеріалами: визначеннями основних термінів і понять, ілюстраціями, аудіо- та відеоматеріалами, цікавими фактами і прикладами з життя.</w:t>
      </w:r>
    </w:p>
    <w:p w:rsidR="00307974" w:rsidRPr="00FB19F9" w:rsidRDefault="00307974" w:rsidP="00307974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Вчителі, які викладають зазначений курс з допомогою зазначеної платформи  мають змогу навчатися у зручний час, слідкувати за своїм прогресом у вивченні курсу громадянської освіти, здобувати додаткові бали за ознайомлення з додатковими матеріалами до теми, брати участь в опитуваннях, виконанні практичних завдань у «Майстерні громадянина» тощо.</w:t>
      </w:r>
    </w:p>
    <w:p w:rsidR="00307974" w:rsidRPr="00FB19F9" w:rsidRDefault="00307974" w:rsidP="00307974">
      <w:pPr>
        <w:widowControl w:val="0"/>
        <w:shd w:val="clear" w:color="auto" w:fill="FFFFFF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У контексті російсько</w:t>
      </w:r>
      <w:r w:rsidRPr="00FB19F9">
        <w:rPr>
          <w:rFonts w:ascii="Times New Roman" w:eastAsia="Times New Roman" w:hAnsi="Times New Roman" w:cs="Times New Roman"/>
          <w:color w:val="141823"/>
          <w:spacing w:val="-4"/>
          <w:sz w:val="24"/>
          <w:szCs w:val="24"/>
          <w:lang w:eastAsia="uk-UA"/>
        </w:rPr>
        <w:t xml:space="preserve">ї інформаційної агресії  особливе місце в нашому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суспільстві посідає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медіаграмотність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.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 2015 року відбувається  методологічне  та кваліфікаційне  забезпечення процесу упровадження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медіаграмотності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методик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критичного мислення до викладання суспільних дисциплін у закладі загальної середньої освіти.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Потсібник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Медіаграмотність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суспільних дисциплін та  електронний посібник для вчителя «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Медіаграмотність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 критичне мислення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уроках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суспільствознавства» сприятиме набуттю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медіаграмотності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 навичок критичного мислення старшокласниками під час вивчення курсу «Громадянська освіта» та інших суспільствознавчих курсів. На базі онлайн-бібліотеки з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медіаосвіти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АУП з вересня 2013 є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портал «</w:t>
      </w:r>
      <w:proofErr w:type="spellStart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Медіаосвіта</w:t>
      </w:r>
      <w:proofErr w:type="spellEnd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та </w:t>
      </w:r>
      <w:proofErr w:type="spellStart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медіаграмотність</w:t>
      </w:r>
      <w:proofErr w:type="spellEnd"/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»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(http://www.medialiteracy.org.ua/), у тому числі з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відеоархівом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з метою створення інтерактивної платформи для спілкування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медіапедагогів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задля сприяння відкритості та публічності процесів у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медіаосвітньому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середовищі. 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</w:pPr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На порталі розміщуються новини </w:t>
      </w:r>
      <w:proofErr w:type="spellStart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>медіаосвіти</w:t>
      </w:r>
      <w:proofErr w:type="spellEnd"/>
      <w:r w:rsidRPr="00FB19F9">
        <w:rPr>
          <w:rFonts w:ascii="Times New Roman" w:eastAsia="Arial Unicode MS" w:hAnsi="Times New Roman" w:cs="Times New Roman"/>
          <w:spacing w:val="-4"/>
          <w:sz w:val="24"/>
          <w:szCs w:val="24"/>
          <w:lang w:eastAsia="ar-SA"/>
        </w:rPr>
        <w:t xml:space="preserve">, поповнюється електронна бібліотека, календар подій, плани уроків, презентації тощо). </w:t>
      </w:r>
    </w:p>
    <w:p w:rsidR="00307974" w:rsidRPr="00FB19F9" w:rsidRDefault="00307974" w:rsidP="00307974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Аналітичні матеріали, а також дані багатьох сучасних досліджень показують, що в наш час у країні склалася ситуація, коли  реально існуюче культурне розмаїття недооцінюється, а іноді сприймається як гальмо на шляху національної консолідації. Незважаючи на фактичне культурне, етнічне та конфесійне розмаїття в країні, більшість населення не бажає приймати світ у всьому його різноманітті. Протягом багатьох десятиліть формувались забобони і стереотипи до різних груп населення. Велика кількість внутрішньо переміщених осіб із Криму й Сходу країни стала ще одним викликом, що спонукає шукати дієві інструменти для адаптації та соціалізації в регіонах України людей, відмінних своїми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мовними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релігійними, культурними та іншими характеристиками. Також надзвичайно актуальними є розвиток громадянської освіти й системна цілеспрямована робота по об’єднанню країни, розвитку міжрегіональних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зв’язків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інтеграційних процесів і співпраці. Відповіддю на ці виклики може бути увага до регіональних особливостей й їхнє широке представлення у загальноукраїнському контексті, а також системний, інтегрований,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компетентністний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підходи до знайомства з оточуючим середовищем і інклюзія у широкому сенсі цього слова. Формування громадянської та соціальної компетентності дітей є також важливим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компонентом розвитку дитини й підготовки її до реалій життя у світі, що швидко змінюється. </w:t>
      </w:r>
    </w:p>
    <w:p w:rsidR="00307974" w:rsidRPr="00FB19F9" w:rsidRDefault="00307974" w:rsidP="0030797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Саме для набуття практичних навичок й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компетентностей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для життя й був розроблений наскрізний інтегрований курс «Культура добросусідства». Його  програми успішно пройшли апробацію й схвалені до використання.    Зміст курсу є інтегрованим і, таким чином, дозволяє здобувачеві освіти побачити явища навколишнього життя в їх взаємозв'язку і взаємовпливі. Пріоритетність виховних та розвиваючих завдань через активну практичну діяльність сприятиме формуванню певних навичок і моделей поведінки, у першу чергу, спрямованих на розвиток особистості, її культурної компетентності, громадянської свідомості й повагу до різноманіття. </w:t>
      </w:r>
    </w:p>
    <w:p w:rsidR="00307974" w:rsidRPr="00FB19F9" w:rsidRDefault="00307974" w:rsidP="00307974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Зазначені програми дозволяють широко використовувати новітні освітні технології в навчанні, стимулюють введення інноваційних форм роботи, таких як інтерактивні заняття, тренінги, дискусії, ділову гру, кейс-стаді та ін.  Курс «Культура добросусідства» може стати важливою складовою частиною сучасної громадянської освіти дітей різного віку, а також їхніх батьків, бо дає змогу широко залучати до освітнього процесу дорослих і громаду, що також сприяє розвиткові інтеграційних процесів у суспільстві.</w:t>
      </w:r>
    </w:p>
    <w:p w:rsidR="00307974" w:rsidRPr="00FB19F9" w:rsidRDefault="00307974" w:rsidP="00307974">
      <w:pPr>
        <w:widowControl w:val="0"/>
        <w:spacing w:after="0" w:line="22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Навчальний курс “Культура добросусідства” може бути введений, починаючи з будь-якого класу, як спецкурс за рахунок годин варіативної частини навчальних планів (35 годин на рік), за відсутності годин у варіативній частині - як виховна година. Викладання курсу може здійснюватися класними керівниками - вчителями початкових класів і вчителями-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предметниками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шкільними психологами, соціальними працівниками, за умови проходження ними відповідної методичної підготовки.</w:t>
      </w:r>
    </w:p>
    <w:p w:rsidR="008B7AF4" w:rsidRDefault="001700F8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8D"/>
    <w:rsid w:val="001700F8"/>
    <w:rsid w:val="00172415"/>
    <w:rsid w:val="00307974"/>
    <w:rsid w:val="00C73F8D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5E09B-4115-46EF-9AD7-4457E76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974"/>
    <w:rPr>
      <w:b/>
      <w:bCs/>
    </w:rPr>
  </w:style>
  <w:style w:type="character" w:styleId="a4">
    <w:name w:val="Hyperlink"/>
    <w:basedOn w:val="a0"/>
    <w:uiPriority w:val="99"/>
    <w:unhideWhenUsed/>
    <w:rsid w:val="00170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8067</Words>
  <Characters>4599</Characters>
  <Application>Microsoft Office Word</Application>
  <DocSecurity>0</DocSecurity>
  <Lines>38</Lines>
  <Paragraphs>25</Paragraphs>
  <ScaleCrop>false</ScaleCrop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2019-08-23T10:30:00Z</dcterms:created>
  <dcterms:modified xsi:type="dcterms:W3CDTF">2019-08-23T11:05:00Z</dcterms:modified>
</cp:coreProperties>
</file>