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38" w:rsidRPr="00026854" w:rsidRDefault="00D31D38" w:rsidP="00D31D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"https://www.schoollife.org.ua/lyst-ministerstva-osvity-i-nauky-ukrayiny-1-11-5966-vid-01-07-2019-shhodo-metodychnyh-rekomendatsij-pro-vykladannya-navchalnyh-predmetiv-u-zakladah-zagalnoyi-serednoyi-osvity-u-2019-2020-navchalnomu-r/" </w:instrTex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t>Лист № 1/11-5966 від 01.07.2019</w: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</w:p>
    <w:p w:rsidR="00D31D38" w:rsidRPr="00026854" w:rsidRDefault="00D31D38" w:rsidP="00D31D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1D38" w:rsidRPr="00026854" w:rsidRDefault="00D31D38" w:rsidP="00D31D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1D38" w:rsidRPr="00026854" w:rsidRDefault="00D31D38" w:rsidP="00D31D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1D38" w:rsidRPr="00026854" w:rsidRDefault="00D31D38" w:rsidP="00D31D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1D38" w:rsidRPr="00026854" w:rsidRDefault="00D31D38" w:rsidP="00D31D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1D38" w:rsidRPr="00026854" w:rsidRDefault="00D31D38" w:rsidP="00D31D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1D38" w:rsidRPr="00026854" w:rsidRDefault="00D31D38" w:rsidP="00D31D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1D38" w:rsidRPr="00026854" w:rsidRDefault="00D31D38" w:rsidP="00D31D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1D38" w:rsidRPr="00026854" w:rsidRDefault="00D31D38" w:rsidP="00D31D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1D38" w:rsidRPr="00026854" w:rsidRDefault="00D31D38" w:rsidP="00D31D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(департаменти) освіти і науки обласних, Київської міської</w:t>
      </w:r>
    </w:p>
    <w:p w:rsidR="00D31D38" w:rsidRPr="00026854" w:rsidRDefault="00D31D38" w:rsidP="00D31D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державних адміністрацій</w:t>
      </w:r>
    </w:p>
    <w:p w:rsidR="00D31D38" w:rsidRPr="00026854" w:rsidRDefault="00D31D38" w:rsidP="00D31D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Інститути післядипломної педагогічної освіти</w:t>
      </w:r>
    </w:p>
    <w:p w:rsidR="00D31D38" w:rsidRPr="00026854" w:rsidRDefault="00D31D38" w:rsidP="00D31D38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1D38" w:rsidRPr="00026854" w:rsidRDefault="00D31D38" w:rsidP="00D3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D38" w:rsidRPr="00026854" w:rsidRDefault="00D31D38" w:rsidP="00D3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методичних рекомендацій</w:t>
      </w:r>
    </w:p>
    <w:p w:rsidR="00D31D38" w:rsidRPr="00026854" w:rsidRDefault="00D31D38" w:rsidP="00D3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викладання навчальних предметів</w:t>
      </w:r>
    </w:p>
    <w:p w:rsidR="00D31D38" w:rsidRPr="00026854" w:rsidRDefault="00D31D38" w:rsidP="00D3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загальної середньої освіти</w:t>
      </w:r>
    </w:p>
    <w:p w:rsidR="00D31D38" w:rsidRPr="00026854" w:rsidRDefault="00D31D38" w:rsidP="00D3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2019/2020 навчальному році</w:t>
      </w:r>
    </w:p>
    <w:p w:rsidR="00D31D38" w:rsidRPr="00026854" w:rsidRDefault="00D31D38" w:rsidP="00D3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D38" w:rsidRPr="00026854" w:rsidRDefault="00D31D38" w:rsidP="00D31D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1D38" w:rsidRPr="00026854" w:rsidRDefault="00D31D38" w:rsidP="00D31D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2019/2020 навчальному році, підготовлені спільно з Національною академією педагогічних наук України та Інститутом модернізації змісту освіти.</w:t>
      </w:r>
    </w:p>
    <w:p w:rsidR="00D31D38" w:rsidRPr="00026854" w:rsidRDefault="00D31D38" w:rsidP="00D31D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Просимо довести їх до відома керівників закладів загальної середньої освіти та вчителів.</w:t>
      </w:r>
    </w:p>
    <w:p w:rsidR="00D31D38" w:rsidRPr="00026854" w:rsidRDefault="00D31D38" w:rsidP="00D31D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1D38" w:rsidRPr="00026854" w:rsidRDefault="00D31D38" w:rsidP="00D31D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1D38" w:rsidRPr="00026854" w:rsidRDefault="00D31D38" w:rsidP="00D3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Міністра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 А. </w:t>
      </w:r>
      <w:proofErr w:type="spellStart"/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Карандій</w:t>
      </w:r>
      <w:proofErr w:type="spellEnd"/>
    </w:p>
    <w:p w:rsidR="00D31D38" w:rsidRDefault="00D31D38" w:rsidP="00D31D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31D38" w:rsidRPr="00026854" w:rsidRDefault="00D31D38" w:rsidP="00D31D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6854">
        <w:rPr>
          <w:rFonts w:ascii="Times New Roman" w:eastAsia="Times New Roman" w:hAnsi="Times New Roman" w:cs="Times New Roman"/>
          <w:lang w:eastAsia="ru-RU"/>
        </w:rPr>
        <w:t>Бєскова</w:t>
      </w:r>
      <w:proofErr w:type="spellEnd"/>
      <w:r w:rsidRPr="00026854">
        <w:rPr>
          <w:rFonts w:ascii="Times New Roman" w:eastAsia="Times New Roman" w:hAnsi="Times New Roman" w:cs="Times New Roman"/>
          <w:lang w:eastAsia="ru-RU"/>
        </w:rPr>
        <w:t>, 481-32-01</w:t>
      </w:r>
    </w:p>
    <w:p w:rsidR="00D31D38" w:rsidRPr="00026854" w:rsidRDefault="00D31D38" w:rsidP="00D31D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Дубовик О.А.</w:t>
      </w:r>
    </w:p>
    <w:p w:rsidR="00D31D38" w:rsidRPr="00026854" w:rsidRDefault="00D31D38" w:rsidP="00D31D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Коваленко О.Я.</w:t>
      </w:r>
    </w:p>
    <w:p w:rsidR="00D31D38" w:rsidRPr="00026854" w:rsidRDefault="00D31D38" w:rsidP="00D31D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31D38" w:rsidRPr="00026854" w:rsidRDefault="00D31D38" w:rsidP="00D31D38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02685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Вступ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Реформування загальної середньої освіти передбачає модернізацію змісту освіти, що має ґрунтуватися на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компетентнісному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та особистісно орієнтованому підходах до навчання, а саме головне – орієнтуватися на здобуття учнями умінь і навичок, необхідних сучасній людині для успішної самореалізації у професійній діяльності, особистому житті, громадській активності.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Статтею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12 Закону України «Про освіту» визначено мету повної загальної середньої освіти -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Досягнення цієї мети забезпечується шляхом формування ключових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необхідних кожній сучасній людині:</w:t>
      </w:r>
    </w:p>
    <w:p w:rsidR="00D31D38" w:rsidRPr="00026854" w:rsidRDefault="00D31D38" w:rsidP="00D31D38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lastRenderedPageBreak/>
        <w:t> вільне володіння державною мовою;</w:t>
      </w:r>
    </w:p>
    <w:p w:rsidR="00D31D38" w:rsidRPr="00026854" w:rsidRDefault="00D31D38" w:rsidP="00D31D38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 здатність спілкуватися рідною (у разі відмінності від державної) та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іноземними мовами;</w:t>
      </w:r>
    </w:p>
    <w:p w:rsidR="00D31D38" w:rsidRPr="00026854" w:rsidRDefault="00D31D38" w:rsidP="00D31D38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математична компетентність;</w:t>
      </w:r>
    </w:p>
    <w:p w:rsidR="00D31D38" w:rsidRPr="00026854" w:rsidRDefault="00D31D38" w:rsidP="00D31D38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компетентності у галузі природничих наук, техніки і технологій;</w:t>
      </w:r>
    </w:p>
    <w:p w:rsidR="00D31D38" w:rsidRPr="00026854" w:rsidRDefault="00D31D38" w:rsidP="00D31D38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інноваційність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;</w:t>
      </w:r>
    </w:p>
    <w:p w:rsidR="00D31D38" w:rsidRPr="00026854" w:rsidRDefault="00D31D38" w:rsidP="00D31D38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екологічна компетентність;</w:t>
      </w:r>
    </w:p>
    <w:p w:rsidR="00D31D38" w:rsidRPr="00026854" w:rsidRDefault="00D31D38" w:rsidP="00D31D38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інформаційно-комунікаційна компетентність;</w:t>
      </w:r>
    </w:p>
    <w:p w:rsidR="00D31D38" w:rsidRPr="00026854" w:rsidRDefault="00D31D38" w:rsidP="00D31D38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навчання впродовж життя;</w:t>
      </w:r>
    </w:p>
    <w:p w:rsidR="00D31D38" w:rsidRPr="00026854" w:rsidRDefault="00D31D38" w:rsidP="00D31D38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D31D38" w:rsidRPr="00026854" w:rsidRDefault="00D31D38" w:rsidP="00D31D38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культурна компетентність;</w:t>
      </w:r>
    </w:p>
    <w:p w:rsidR="00D31D38" w:rsidRPr="00026854" w:rsidRDefault="00D31D38" w:rsidP="00D31D38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підприємливість та фінансова грамотність;</w:t>
      </w:r>
    </w:p>
    <w:p w:rsidR="00D31D38" w:rsidRPr="00026854" w:rsidRDefault="00D31D38" w:rsidP="00D31D38">
      <w:pPr>
        <w:widowControl w:val="0"/>
        <w:numPr>
          <w:ilvl w:val="0"/>
          <w:numId w:val="2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інші компетентності, передбачені стандартом освіти.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Окрім того, усі компетентності однаково важливі і взаємопов’язані: елементи, притаманні одній компетентності впливатимуть на формування інших.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Звертаємо особливу увагу, що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у змісті всіх навчальних програм послідовно впроваджено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компетентнісний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підхід, який відповідає стратегічному напряму розвитку освіти в контексті положень Концепції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«Нова українська школа» та показано особливості запровадження наскрізних змістовних ліній «Екологічна безпека та сталий розвиток», «Громадянська відповідальність», «Здоров'я і безпека», «Підприємливість та фінансова грамотність», які відображають провідні соціально й особистісно значущі ідеї, що послідовно розкриваються у процесі навчання й виховання.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Наскрізна лінія «</w:t>
      </w:r>
      <w:r w:rsidRPr="00026854"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uk-UA"/>
        </w:rPr>
        <w:t>Екологічна безпека і сталий розвиток»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підсилює формування в учнів соціальної активності, відповідальності й екологічної свідомості: збереження, захист довкілля й усвідомлення сталого його розвитку, готовність брати участь у вирішенні питань навколишнього середовища і розвитку суспільства.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«Громадянська відповідальність»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забезпечує розвиток соціальної й громадянської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розкриває суть поняття «відповідальний громадянин», визначає вектори його діяльності.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Реалізації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здоров’язбережувальної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ключової компетентності сприяє 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«Здоров’я і безпека»,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орієнтуючи на формування учня як духовно,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емоційно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соціально й фізично повноцінного громадянина, що дотримується здорового способу життя, активно долучається до облаштування безпечного для життя й діяльності середовища.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Метою наскрізної лінії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«Підприємливість і фінансова грамотність»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навчання молодого покоління українців ощадливості, раціонального використання коштів, планування витрат, стимулювання лідерських ініціатив, прагнення успішно діяти в технологічному швидкозмінному середовищі.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Наскрізні змістові лінії спільні для всіх начальних предметів, є засобом інтегрування навчального змісту, вони корелюються з окремими ключовими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компетентностями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і сприяють формуванню ціннісних і світоглядних орієнтацій учня, що визначають його поведінку в життєвих ситуаціях. Упровадження наскрізних змістових ліній у навчальний предмет передбачає розв’язування завдань реального змісту, виконання міжпредметних навчальних проектів, роботу з різними джерелами інформації.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Спільними для всіх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логічно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обґрунтовувати позицію, творчість, ініціативність, вміння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конструктивно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керувати емоціями, оцінювати ризики, приймати рішення, розв’язувати проблеми, здатність співпрацювати з іншими людьми.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Зміст навчання потрібно базувати на положеннях дидактики, психології, методики, підборі оригі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 завдань і видів діяльності, моделюванні творчої діяльності учнів, урахуванні розвитку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мовних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соціаль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них, громадянських,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здоров’язбережувальних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 xml:space="preserve"> та інших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визначених навчальними програма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ми.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Нині змінилися не тільки вимоги до якості освіти, а й виникла потреба впровадження у зміст освіти євро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пейського виміру, спрямування його на інтеграцію до світових та європейських стандартів. А тому перед освітя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нами, науковцями стоїть нелегке завдання – пошук ефективних механізмів проходження всіх етапів навчання.</w:t>
      </w:r>
    </w:p>
    <w:p w:rsidR="00D31D38" w:rsidRPr="00026854" w:rsidRDefault="00D31D38" w:rsidP="00D31D3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Саме через освіту необхідно підготувати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інноваційну людину, здатну до сприйняття змін та новацій. Головна мета розвитку української системи освіти – створити умови для саморозвитку та самореалізації кожної особистості як громадянина України.</w:t>
      </w:r>
    </w:p>
    <w:p w:rsidR="00545768" w:rsidRPr="00FB19F9" w:rsidRDefault="00545768" w:rsidP="00545768">
      <w:pPr>
        <w:widowControl w:val="0"/>
        <w:spacing w:after="0" w:line="226" w:lineRule="auto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</w:pPr>
      <w:bookmarkStart w:id="0" w:name="_GoBack"/>
      <w:bookmarkEnd w:id="0"/>
    </w:p>
    <w:p w:rsidR="00545768" w:rsidRPr="00FB19F9" w:rsidRDefault="00545768" w:rsidP="00545768">
      <w:pPr>
        <w:widowControl w:val="0"/>
        <w:spacing w:after="0" w:line="226" w:lineRule="auto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lastRenderedPageBreak/>
        <w:t>Хімія</w:t>
      </w:r>
    </w:p>
    <w:p w:rsidR="00545768" w:rsidRPr="00FB19F9" w:rsidRDefault="00545768" w:rsidP="00545768">
      <w:pPr>
        <w:widowControl w:val="0"/>
        <w:spacing w:after="0" w:line="226" w:lineRule="auto"/>
        <w:ind w:firstLine="715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Навчання хімії у закладах загальної середньої освіти у 2019/2020 навчальному році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здійснюватиметься за такими </w:t>
      </w:r>
      <w:r w:rsidRPr="00FB19F9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uk-UA"/>
        </w:rPr>
        <w:t>навчальними програмами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 xml:space="preserve">: </w:t>
      </w:r>
    </w:p>
    <w:p w:rsidR="00545768" w:rsidRPr="00FB19F9" w:rsidRDefault="00545768" w:rsidP="00545768">
      <w:pPr>
        <w:widowControl w:val="0"/>
        <w:spacing w:after="0" w:line="226" w:lineRule="auto"/>
        <w:ind w:firstLine="71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7 - 9 класи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– Програма для загальноосвітніх навчальних закладів. Хімія. 7-9 класи, затверджена наказом МОН України від 07.06.2017 № 804. Програму розміщено на офіційному веб-сайті Міністерства (</w:t>
      </w:r>
      <w:hyperlink r:id="rId5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https://goo.gl/GDh9gC</w:t>
        </w:r>
      </w:hyperlink>
      <w:r w:rsidRPr="00FB19F9"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  <w:lang w:eastAsia="uk-UA"/>
        </w:rPr>
        <w:t>).</w:t>
      </w:r>
    </w:p>
    <w:p w:rsidR="00545768" w:rsidRPr="00FB19F9" w:rsidRDefault="00545768" w:rsidP="00545768">
      <w:pPr>
        <w:widowControl w:val="0"/>
        <w:spacing w:after="0" w:line="226" w:lineRule="auto"/>
        <w:ind w:firstLine="71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8 – 9 класи з поглибленим вивченням хімії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– Програма для загальноосвітніх навчальних закладів з поглибленим вивченням хімії, затверджена наказом МОН України від 17.07.2015 № 983. Програму розміщено на офіційному веб-сайті Міністерства (</w:t>
      </w:r>
      <w:hyperlink r:id="rId6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https://goo.gl/GDh9gC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).</w:t>
      </w:r>
    </w:p>
    <w:p w:rsidR="00545768" w:rsidRPr="00FB19F9" w:rsidRDefault="00545768" w:rsidP="00545768">
      <w:pPr>
        <w:widowControl w:val="0"/>
        <w:shd w:val="clear" w:color="auto" w:fill="FFFFFF"/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У 2018/2019 навчальному році у старшій школі починається перехід на навчальні програми, розроблені 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t xml:space="preserve">відповідно до Державного стандарту базової і повної загальної середньої освіти, затвердженого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постановою Кабінету Міністрів України від 23.11.2011 № 1392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. Тому 10 та 11 класи навчатимуться за різними програмами:</w:t>
      </w:r>
    </w:p>
    <w:p w:rsidR="00545768" w:rsidRPr="00FB19F9" w:rsidRDefault="00545768" w:rsidP="00545768">
      <w:pPr>
        <w:widowControl w:val="0"/>
        <w:spacing w:after="0" w:line="226" w:lineRule="auto"/>
        <w:ind w:firstLine="71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10 – 11 класи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: </w:t>
      </w:r>
    </w:p>
    <w:p w:rsidR="00545768" w:rsidRPr="00FB19F9" w:rsidRDefault="00545768" w:rsidP="00545768">
      <w:pPr>
        <w:widowControl w:val="0"/>
        <w:numPr>
          <w:ilvl w:val="0"/>
          <w:numId w:val="1"/>
        </w:numPr>
        <w:spacing w:after="0" w:line="22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kern w:val="32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Програма з хімії для 10–11 класів закладів загальної середньої освіти. Рівень стандарту</w:t>
      </w:r>
      <w:r w:rsidRPr="00FB19F9">
        <w:rPr>
          <w:rFonts w:ascii="Times New Roman" w:eastAsia="Times New Roman" w:hAnsi="Times New Roman" w:cs="Times New Roman"/>
          <w:spacing w:val="-4"/>
          <w:kern w:val="32"/>
          <w:sz w:val="24"/>
          <w:szCs w:val="24"/>
          <w:lang w:eastAsia="uk-UA"/>
        </w:rPr>
        <w:t xml:space="preserve"> (затверджена наказом МОН України від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23.10.2017    № 1407</w:t>
      </w:r>
      <w:r w:rsidRPr="00FB19F9">
        <w:rPr>
          <w:rFonts w:ascii="Times New Roman" w:eastAsia="Times New Roman" w:hAnsi="Times New Roman" w:cs="Times New Roman"/>
          <w:spacing w:val="-4"/>
          <w:kern w:val="32"/>
          <w:sz w:val="24"/>
          <w:szCs w:val="24"/>
          <w:lang w:eastAsia="uk-UA"/>
        </w:rPr>
        <w:t xml:space="preserve">).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Програму</w:t>
      </w:r>
      <w:r w:rsidRPr="00FB19F9">
        <w:rPr>
          <w:rFonts w:ascii="Times New Roman" w:eastAsia="Times New Roman" w:hAnsi="Times New Roman" w:cs="Times New Roman"/>
          <w:spacing w:val="-4"/>
          <w:kern w:val="32"/>
          <w:sz w:val="24"/>
          <w:szCs w:val="24"/>
          <w:lang w:eastAsia="uk-UA"/>
        </w:rPr>
        <w:t xml:space="preserve"> розміщено на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офіційному веб-сайті Міністерства </w:t>
      </w:r>
      <w:r w:rsidRPr="00FB19F9">
        <w:rPr>
          <w:rFonts w:ascii="Times New Roman" w:eastAsia="Times New Roman" w:hAnsi="Times New Roman" w:cs="Times New Roman"/>
          <w:spacing w:val="-4"/>
          <w:kern w:val="32"/>
          <w:sz w:val="24"/>
          <w:szCs w:val="24"/>
          <w:lang w:eastAsia="uk-UA"/>
        </w:rPr>
        <w:t>(</w:t>
      </w:r>
      <w:hyperlink r:id="rId7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https://goo.gl/fwh2BR</w:t>
        </w:r>
      </w:hyperlink>
      <w:r w:rsidRPr="00FB19F9">
        <w:rPr>
          <w:rFonts w:ascii="Times New Roman" w:eastAsia="Times New Roman" w:hAnsi="Times New Roman" w:cs="Times New Roman"/>
          <w:spacing w:val="-4"/>
          <w:kern w:val="32"/>
          <w:sz w:val="24"/>
          <w:szCs w:val="24"/>
          <w:lang w:eastAsia="uk-UA"/>
        </w:rPr>
        <w:t>);</w:t>
      </w:r>
    </w:p>
    <w:p w:rsidR="00545768" w:rsidRPr="00FB19F9" w:rsidRDefault="00545768" w:rsidP="00545768">
      <w:pPr>
        <w:widowControl w:val="0"/>
        <w:numPr>
          <w:ilvl w:val="0"/>
          <w:numId w:val="1"/>
        </w:numPr>
        <w:spacing w:after="0" w:line="22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kern w:val="32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Програма з хімії для 10–11 класів закладів загальної середньої освіти. Профільний рівень </w:t>
      </w:r>
      <w:r w:rsidRPr="00FB19F9">
        <w:rPr>
          <w:rFonts w:ascii="Times New Roman" w:eastAsia="Times New Roman" w:hAnsi="Times New Roman" w:cs="Times New Roman"/>
          <w:spacing w:val="-4"/>
          <w:kern w:val="32"/>
          <w:sz w:val="24"/>
          <w:szCs w:val="24"/>
          <w:lang w:eastAsia="uk-UA"/>
        </w:rPr>
        <w:t xml:space="preserve">(затверджена наказом МОН України від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23.10.2017    № 1407</w:t>
      </w:r>
      <w:r w:rsidRPr="00FB19F9">
        <w:rPr>
          <w:rFonts w:ascii="Times New Roman" w:eastAsia="Times New Roman" w:hAnsi="Times New Roman" w:cs="Times New Roman"/>
          <w:spacing w:val="-4"/>
          <w:kern w:val="32"/>
          <w:sz w:val="24"/>
          <w:szCs w:val="24"/>
          <w:lang w:eastAsia="uk-UA"/>
        </w:rPr>
        <w:t xml:space="preserve">).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Програму</w:t>
      </w:r>
      <w:r w:rsidRPr="00FB19F9">
        <w:rPr>
          <w:rFonts w:ascii="Times New Roman" w:eastAsia="Times New Roman" w:hAnsi="Times New Roman" w:cs="Times New Roman"/>
          <w:spacing w:val="-4"/>
          <w:kern w:val="32"/>
          <w:sz w:val="24"/>
          <w:szCs w:val="24"/>
          <w:lang w:eastAsia="uk-UA"/>
        </w:rPr>
        <w:t xml:space="preserve"> розміщено на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офіційному веб-сайті Міністерства </w:t>
      </w:r>
      <w:r w:rsidRPr="00FB19F9">
        <w:rPr>
          <w:rFonts w:ascii="Times New Roman" w:eastAsia="Times New Roman" w:hAnsi="Times New Roman" w:cs="Times New Roman"/>
          <w:spacing w:val="-4"/>
          <w:kern w:val="32"/>
          <w:sz w:val="24"/>
          <w:szCs w:val="24"/>
          <w:lang w:eastAsia="uk-UA"/>
        </w:rPr>
        <w:t>(</w:t>
      </w:r>
      <w:hyperlink r:id="rId8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https://goo.gl/fwh2BR</w:t>
        </w:r>
      </w:hyperlink>
      <w:r w:rsidRPr="00FB19F9">
        <w:rPr>
          <w:rFonts w:ascii="Times New Roman" w:eastAsia="Times New Roman" w:hAnsi="Times New Roman" w:cs="Times New Roman"/>
          <w:spacing w:val="-4"/>
          <w:kern w:val="32"/>
          <w:sz w:val="24"/>
          <w:szCs w:val="24"/>
          <w:lang w:eastAsia="uk-UA"/>
        </w:rPr>
        <w:t>).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Програми позбавлені поурочного поділу. Вчитель може самостійно розподіляти навчальні години і визначати послідовність розкриття навчального матеріалу в межах окремої теми, але так, щоб не порушувалась логіка його викладу. 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Варіативна складова навчальних планів до типових освітніх програм може використовуватись на підсилення предметів інваріантної складової. У такому разі розподіл годин на вивчення тієї чи іншої теми навчальної програми здійснюється вчителем самостійно і фіксується у календарно-тематичному плані, який погоджується керівником навчального закладу чи його заступником. Вчитель записує проведені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уроки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 сторінках класного журналу, відведених для навчального предмета, на підсилення якого використано зазначені години.</w:t>
      </w:r>
    </w:p>
    <w:p w:rsidR="00545768" w:rsidRPr="00FB19F9" w:rsidRDefault="00545768" w:rsidP="00545768">
      <w:pPr>
        <w:widowControl w:val="0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</w:tabs>
        <w:autoSpaceDE w:val="0"/>
        <w:autoSpaceDN w:val="0"/>
        <w:spacing w:after="0" w:line="226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Одним із шляхів диференціації та індивідуалізації навчання є впровадження в шкільну практику системи курсів за вибором та факультативів, які реалізуються за рахунок варіативного компонента змісту освіти і доповнюють та поглиблюють зміст навчального предмета. </w:t>
      </w:r>
    </w:p>
    <w:p w:rsidR="00545768" w:rsidRPr="00FB19F9" w:rsidRDefault="00545768" w:rsidP="00545768">
      <w:pPr>
        <w:widowControl w:val="0"/>
        <w:autoSpaceDE w:val="0"/>
        <w:autoSpaceDN w:val="0"/>
        <w:adjustRightInd w:val="0"/>
        <w:spacing w:after="0" w:line="226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-4"/>
          <w:w w:val="107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Зміст програм курсів за вибором і </w:t>
      </w:r>
      <w:r w:rsidRPr="00FB19F9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eastAsia="uk-UA"/>
        </w:rPr>
        <w:t xml:space="preserve">факультативів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як і </w:t>
      </w:r>
      <w:r w:rsidRPr="00FB19F9">
        <w:rPr>
          <w:rFonts w:ascii="Times New Roman" w:eastAsia="Times New Roman" w:hAnsi="Times New Roman" w:cs="Times New Roman"/>
          <w:spacing w:val="-4"/>
          <w:w w:val="109"/>
          <w:sz w:val="24"/>
          <w:szCs w:val="24"/>
          <w:lang w:eastAsia="uk-UA"/>
        </w:rPr>
        <w:t xml:space="preserve">кількість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годин </w:t>
      </w:r>
      <w:r w:rsidRPr="00FB19F9">
        <w:rPr>
          <w:rFonts w:ascii="Times New Roman" w:eastAsia="Times New Roman" w:hAnsi="Times New Roman" w:cs="Times New Roman"/>
          <w:spacing w:val="-4"/>
          <w:w w:val="108"/>
          <w:sz w:val="24"/>
          <w:szCs w:val="24"/>
          <w:lang w:eastAsia="uk-UA"/>
        </w:rPr>
        <w:t xml:space="preserve">та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клас, в якому </w:t>
      </w:r>
      <w:r w:rsidRPr="00FB19F9">
        <w:rPr>
          <w:rFonts w:ascii="Times New Roman" w:eastAsia="Times New Roman" w:hAnsi="Times New Roman" w:cs="Times New Roman"/>
          <w:spacing w:val="-4"/>
          <w:w w:val="109"/>
          <w:sz w:val="24"/>
          <w:szCs w:val="24"/>
          <w:lang w:eastAsia="uk-UA"/>
        </w:rPr>
        <w:t xml:space="preserve">пропонується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їх </w:t>
      </w:r>
      <w:r w:rsidRPr="00FB19F9">
        <w:rPr>
          <w:rFonts w:ascii="Times New Roman" w:eastAsia="Times New Roman" w:hAnsi="Times New Roman" w:cs="Times New Roman"/>
          <w:spacing w:val="-4"/>
          <w:w w:val="109"/>
          <w:sz w:val="24"/>
          <w:szCs w:val="24"/>
          <w:lang w:eastAsia="uk-UA"/>
        </w:rPr>
        <w:t xml:space="preserve">вивчення,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є </w:t>
      </w:r>
      <w:r w:rsidRPr="00FB19F9">
        <w:rPr>
          <w:rFonts w:ascii="Times New Roman" w:eastAsia="Times New Roman" w:hAnsi="Times New Roman" w:cs="Times New Roman"/>
          <w:spacing w:val="-4"/>
          <w:w w:val="108"/>
          <w:sz w:val="24"/>
          <w:szCs w:val="24"/>
          <w:lang w:eastAsia="uk-UA"/>
        </w:rPr>
        <w:t xml:space="preserve">орієнтовним. Учителі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можуть </w:t>
      </w:r>
      <w:r w:rsidRPr="00FB19F9">
        <w:rPr>
          <w:rFonts w:ascii="Times New Roman" w:eastAsia="Times New Roman" w:hAnsi="Times New Roman" w:cs="Times New Roman"/>
          <w:spacing w:val="-4"/>
          <w:w w:val="108"/>
          <w:sz w:val="24"/>
          <w:szCs w:val="24"/>
          <w:lang w:eastAsia="uk-UA"/>
        </w:rPr>
        <w:t xml:space="preserve">творчо підходити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до </w:t>
      </w:r>
      <w:r w:rsidRPr="00FB19F9">
        <w:rPr>
          <w:rFonts w:ascii="Times New Roman" w:eastAsia="Times New Roman" w:hAnsi="Times New Roman" w:cs="Times New Roman"/>
          <w:spacing w:val="-4"/>
          <w:w w:val="109"/>
          <w:sz w:val="24"/>
          <w:szCs w:val="24"/>
          <w:lang w:eastAsia="uk-UA"/>
        </w:rPr>
        <w:t xml:space="preserve">реалізації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змісту цих програм, </w:t>
      </w:r>
      <w:r w:rsidRPr="00FB19F9">
        <w:rPr>
          <w:rFonts w:ascii="Times New Roman" w:eastAsia="Times New Roman" w:hAnsi="Times New Roman" w:cs="Times New Roman"/>
          <w:spacing w:val="-4"/>
          <w:w w:val="108"/>
          <w:sz w:val="24"/>
          <w:szCs w:val="24"/>
          <w:lang w:eastAsia="uk-UA"/>
        </w:rPr>
        <w:t xml:space="preserve">ураховуючи кількість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годин </w:t>
      </w:r>
      <w:r w:rsidRPr="00FB19F9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eastAsia="uk-UA"/>
        </w:rPr>
        <w:t>ви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ділених на </w:t>
      </w:r>
      <w:r w:rsidRPr="00FB19F9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eastAsia="uk-UA"/>
        </w:rPr>
        <w:t xml:space="preserve">вивчення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курсу за </w:t>
      </w:r>
      <w:r w:rsidRPr="00FB19F9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eastAsia="uk-UA"/>
        </w:rPr>
        <w:t xml:space="preserve">вибором (факультативу),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інтереси та </w:t>
      </w:r>
      <w:r w:rsidRPr="00FB19F9">
        <w:rPr>
          <w:rFonts w:ascii="Times New Roman" w:eastAsia="Times New Roman" w:hAnsi="Times New Roman" w:cs="Times New Roman"/>
          <w:spacing w:val="-4"/>
          <w:w w:val="107"/>
          <w:sz w:val="24"/>
          <w:szCs w:val="24"/>
          <w:lang w:eastAsia="uk-UA"/>
        </w:rPr>
        <w:t xml:space="preserve">здібності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учнів, потреби регіону, </w:t>
      </w:r>
      <w:r w:rsidRPr="00FB19F9">
        <w:rPr>
          <w:rFonts w:ascii="Times New Roman" w:eastAsia="Times New Roman" w:hAnsi="Times New Roman" w:cs="Times New Roman"/>
          <w:spacing w:val="-4"/>
          <w:w w:val="108"/>
          <w:sz w:val="24"/>
          <w:szCs w:val="24"/>
          <w:lang w:eastAsia="uk-UA"/>
        </w:rPr>
        <w:t xml:space="preserve">можливості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w w:val="108"/>
          <w:sz w:val="24"/>
          <w:szCs w:val="24"/>
          <w:lang w:eastAsia="uk-UA"/>
        </w:rPr>
        <w:t>навчально</w:t>
      </w:r>
      <w:r w:rsidRPr="00FB19F9">
        <w:rPr>
          <w:rFonts w:ascii="Times New Roman" w:eastAsia="Times New Roman" w:hAnsi="Times New Roman" w:cs="Times New Roman"/>
          <w:spacing w:val="-4"/>
          <w:w w:val="108"/>
          <w:sz w:val="24"/>
          <w:szCs w:val="24"/>
          <w:lang w:eastAsia="uk-UA"/>
        </w:rPr>
        <w:softHyphen/>
        <w:t>матеріальної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w w:val="108"/>
          <w:sz w:val="24"/>
          <w:szCs w:val="24"/>
          <w:lang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бази закладу освіти. </w:t>
      </w:r>
      <w:r w:rsidRPr="00FB19F9">
        <w:rPr>
          <w:rFonts w:ascii="Times New Roman" w:eastAsia="Times New Roman" w:hAnsi="Times New Roman" w:cs="Times New Roman"/>
          <w:spacing w:val="-4"/>
          <w:w w:val="111"/>
          <w:sz w:val="24"/>
          <w:szCs w:val="24"/>
          <w:lang w:eastAsia="uk-UA"/>
        </w:rPr>
        <w:t>Окре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мі розділи </w:t>
      </w:r>
      <w:r w:rsidRPr="00FB19F9">
        <w:rPr>
          <w:rFonts w:ascii="Times New Roman" w:eastAsia="Times New Roman" w:hAnsi="Times New Roman" w:cs="Times New Roman"/>
          <w:spacing w:val="-4"/>
          <w:w w:val="108"/>
          <w:sz w:val="24"/>
          <w:szCs w:val="24"/>
          <w:lang w:eastAsia="uk-UA"/>
        </w:rPr>
        <w:t xml:space="preserve">запропонованих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у </w:t>
      </w:r>
      <w:r w:rsidRPr="00FB19F9">
        <w:rPr>
          <w:rFonts w:ascii="Times New Roman" w:eastAsia="Times New Roman" w:hAnsi="Times New Roman" w:cs="Times New Roman"/>
          <w:spacing w:val="-4"/>
          <w:w w:val="109"/>
          <w:sz w:val="24"/>
          <w:szCs w:val="24"/>
          <w:lang w:eastAsia="uk-UA"/>
        </w:rPr>
        <w:t xml:space="preserve">збірниках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програм можуть </w:t>
      </w:r>
      <w:r w:rsidRPr="00FB19F9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eastAsia="uk-UA"/>
        </w:rPr>
        <w:t xml:space="preserve">вивчатися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як </w:t>
      </w:r>
      <w:r w:rsidRPr="00FB19F9">
        <w:rPr>
          <w:rFonts w:ascii="Times New Roman" w:eastAsia="Times New Roman" w:hAnsi="Times New Roman" w:cs="Times New Roman"/>
          <w:spacing w:val="-4"/>
          <w:w w:val="107"/>
          <w:sz w:val="24"/>
          <w:szCs w:val="24"/>
          <w:lang w:eastAsia="uk-UA"/>
        </w:rPr>
        <w:t>само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стійні курси за </w:t>
      </w:r>
      <w:r w:rsidRPr="00FB19F9">
        <w:rPr>
          <w:rFonts w:ascii="Times New Roman" w:eastAsia="Times New Roman" w:hAnsi="Times New Roman" w:cs="Times New Roman"/>
          <w:spacing w:val="-4"/>
          <w:w w:val="107"/>
          <w:sz w:val="24"/>
          <w:szCs w:val="24"/>
          <w:lang w:eastAsia="uk-UA"/>
        </w:rPr>
        <w:t>вибором.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Слід </w:t>
      </w:r>
      <w:r w:rsidRPr="00FB19F9">
        <w:rPr>
          <w:rFonts w:ascii="Times New Roman" w:eastAsia="Times New Roman" w:hAnsi="Times New Roman" w:cs="Times New Roman"/>
          <w:spacing w:val="-4"/>
          <w:w w:val="109"/>
          <w:sz w:val="24"/>
          <w:szCs w:val="24"/>
          <w:lang w:eastAsia="uk-UA"/>
        </w:rPr>
        <w:t xml:space="preserve">зазначити,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що </w:t>
      </w:r>
      <w:r w:rsidRPr="00FB19F9">
        <w:rPr>
          <w:rFonts w:ascii="Times New Roman" w:eastAsia="Times New Roman" w:hAnsi="Times New Roman" w:cs="Times New Roman"/>
          <w:spacing w:val="-4"/>
          <w:w w:val="108"/>
          <w:sz w:val="24"/>
          <w:szCs w:val="24"/>
          <w:lang w:eastAsia="uk-UA"/>
        </w:rPr>
        <w:t xml:space="preserve">навчальні програми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курсів за вибором можна </w:t>
      </w:r>
      <w:r w:rsidRPr="00FB19F9">
        <w:rPr>
          <w:rFonts w:ascii="Times New Roman" w:eastAsia="Times New Roman" w:hAnsi="Times New Roman" w:cs="Times New Roman"/>
          <w:spacing w:val="-4"/>
          <w:w w:val="109"/>
          <w:sz w:val="24"/>
          <w:szCs w:val="24"/>
          <w:lang w:eastAsia="uk-UA"/>
        </w:rPr>
        <w:t xml:space="preserve">використовувати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також для </w:t>
      </w:r>
      <w:r w:rsidRPr="00FB19F9">
        <w:rPr>
          <w:rFonts w:ascii="Times New Roman" w:eastAsia="Times New Roman" w:hAnsi="Times New Roman" w:cs="Times New Roman"/>
          <w:spacing w:val="-4"/>
          <w:w w:val="109"/>
          <w:sz w:val="24"/>
          <w:szCs w:val="24"/>
          <w:lang w:eastAsia="uk-UA"/>
        </w:rPr>
        <w:t xml:space="preserve">проведення факультативних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занять і навпаки, </w:t>
      </w:r>
      <w:r w:rsidRPr="00FB19F9">
        <w:rPr>
          <w:rFonts w:ascii="Times New Roman" w:eastAsia="Times New Roman" w:hAnsi="Times New Roman" w:cs="Times New Roman"/>
          <w:spacing w:val="-4"/>
          <w:w w:val="108"/>
          <w:sz w:val="24"/>
          <w:szCs w:val="24"/>
          <w:lang w:eastAsia="uk-UA"/>
        </w:rPr>
        <w:t xml:space="preserve">програми </w:t>
      </w:r>
      <w:r w:rsidRPr="00FB19F9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eastAsia="uk-UA"/>
        </w:rPr>
        <w:t xml:space="preserve">факультативів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можна </w:t>
      </w:r>
      <w:r w:rsidRPr="00FB19F9">
        <w:rPr>
          <w:rFonts w:ascii="Times New Roman" w:eastAsia="Times New Roman" w:hAnsi="Times New Roman" w:cs="Times New Roman"/>
          <w:spacing w:val="-4"/>
          <w:w w:val="109"/>
          <w:sz w:val="24"/>
          <w:szCs w:val="24"/>
          <w:lang w:eastAsia="uk-UA"/>
        </w:rPr>
        <w:t xml:space="preserve">використовувати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для </w:t>
      </w:r>
      <w:r w:rsidRPr="00FB19F9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eastAsia="uk-UA"/>
        </w:rPr>
        <w:t xml:space="preserve">викладання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курсів за </w:t>
      </w:r>
      <w:r w:rsidRPr="00FB19F9">
        <w:rPr>
          <w:rFonts w:ascii="Times New Roman" w:eastAsia="Times New Roman" w:hAnsi="Times New Roman" w:cs="Times New Roman"/>
          <w:spacing w:val="-4"/>
          <w:w w:val="107"/>
          <w:sz w:val="24"/>
          <w:szCs w:val="24"/>
          <w:lang w:eastAsia="uk-UA"/>
        </w:rPr>
        <w:t>вибором.</w:t>
      </w:r>
    </w:p>
    <w:p w:rsidR="00545768" w:rsidRPr="00FB19F9" w:rsidRDefault="00545768" w:rsidP="00545768">
      <w:pPr>
        <w:widowControl w:val="0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</w:tabs>
        <w:autoSpaceDE w:val="0"/>
        <w:autoSpaceDN w:val="0"/>
        <w:spacing w:after="0" w:line="226" w:lineRule="auto"/>
        <w:ind w:firstLine="680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В освітньому процесі заклади загальної середньої освіти можуть використовувати лише навчальну літературу, що має гриф МОН України або схвалена відповідною комісією Науково-методичної ради з питань освіти Міністерства освіти і науки України. Перелік цієї навчальної літератури постійно оновлюється, його розміщено за посиланням </w:t>
      </w:r>
      <w:hyperlink r:id="rId9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https://goo.gl/TnGiJX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Починаючи з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2019/2020 навчального року, навчання хімії в 11 класі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закладів загальної середньої освіти здійснюватиметься за новими, розробленими на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компетентнісних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засадах, навчальними програмами, які відповідають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Концепції реалізації державної політики у сфері реформування загальної середньої освіти «Нова українська школа».</w:t>
      </w:r>
    </w:p>
    <w:p w:rsidR="00545768" w:rsidRPr="00FB19F9" w:rsidRDefault="00545768" w:rsidP="00545768">
      <w:pPr>
        <w:widowControl w:val="0"/>
        <w:tabs>
          <w:tab w:val="left" w:pos="0"/>
        </w:tabs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Навчальні програми містять перелік очікуваних результатів навчання – це орієнтир вчителя на досягнення мети освітнього процесу на відповідному змісті зазначених тем програми. Така структура навчальної програми полегшить планування цілей і завдань уроків, дасть змогу виробити адекватні методичні підходи до проведення навчальних занять, поточного й тематичного оцінювання.</w:t>
      </w:r>
    </w:p>
    <w:p w:rsidR="00545768" w:rsidRPr="00FB19F9" w:rsidRDefault="00545768" w:rsidP="00545768">
      <w:pPr>
        <w:widowControl w:val="0"/>
        <w:tabs>
          <w:tab w:val="left" w:pos="0"/>
        </w:tabs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Отже, основним завданням кожного уроку має стати досягнення певного результату навчання, тобто набуття, формування чи розвиток учнем визначених навчальною програмою умінь, навичок, ставлень, цінностей, зазначених у відповідному структурному складнику програми. А відтак мають змінитися підходи до конструювання і проведення навчальних занять.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Від трансляції готових знань учитель має перейти до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методик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які дозволять учням самостійно добувати знання у ході навчальної діяльності; формувати уміння їх застосовувати у різних ситуаціях, генерувати і продукувати ідеї або нові знання; висловлювати власну точку зору щодо певних процесів чи явищ тощо.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 новою навчальною програмою з хімії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в 11 класі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вивчатимуться неорганічні речовини й тема з узагальнення знань. </w:t>
      </w:r>
    </w:p>
    <w:p w:rsidR="00545768" w:rsidRPr="00FB19F9" w:rsidRDefault="00545768" w:rsidP="00545768">
      <w:pPr>
        <w:widowControl w:val="0"/>
        <w:spacing w:after="0" w:line="226" w:lineRule="auto"/>
        <w:ind w:firstLine="680"/>
        <w:contextualSpacing/>
        <w:jc w:val="both"/>
        <w:rPr>
          <w:rFonts w:ascii="Times New Roman" w:eastAsia="Arial Unicode MS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Рівень стандарту.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lang w:eastAsia="uk-UA"/>
        </w:rPr>
        <w:t xml:space="preserve">В 11 класі поглиблюються знання із загальної хімії і хімії неорганічних речовин, набуті в основній школі. Вивчається хімія неметалічних і металічних елементів згідно з будовою їхніх атомів та місцем у періодичній системі хімічних елементів. Послідовно вивчаються фізичні й хімічні властивості найважливіших </w:t>
      </w:r>
      <w:proofErr w:type="spellStart"/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lang w:eastAsia="uk-UA"/>
        </w:rPr>
        <w:t>сполук</w:t>
      </w:r>
      <w:proofErr w:type="spellEnd"/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lang w:eastAsia="uk-UA"/>
        </w:rPr>
        <w:t xml:space="preserve"> елементів (з якими учні зустрічаються у побуті, довкіллі), правила поводження з ними, одержання та використання їх.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spacing w:val="-4"/>
          <w:sz w:val="24"/>
          <w:szCs w:val="24"/>
          <w:lang w:eastAsia="uk-UA"/>
        </w:rPr>
      </w:pPr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lang w:eastAsia="uk-UA"/>
        </w:rPr>
        <w:t xml:space="preserve">Тема «Хімія і прогрес людства», якою закінчується курс хімії, має </w:t>
      </w:r>
      <w:proofErr w:type="spellStart"/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lang w:eastAsia="uk-UA"/>
        </w:rPr>
        <w:t>узагальнювальний</w:t>
      </w:r>
      <w:proofErr w:type="spellEnd"/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lang w:eastAsia="uk-UA"/>
        </w:rPr>
        <w:t xml:space="preserve"> характер. Розкривається роль хімії у створенні нових матеріалів, розвитку нових напрямів технологій, розв’язанні продовольчої, сировинної, енергетичної, екологічної проблем. Узагальнюються світоглядні питання щодо місця хімії поміж інших наук про природу</w:t>
      </w:r>
      <w:r w:rsidRPr="00FB19F9">
        <w:rPr>
          <w:rFonts w:ascii="Times New Roman" w:eastAsia="Arial Unicode MS" w:hAnsi="Times New Roman" w:cs="Times New Roman"/>
          <w:b/>
          <w:spacing w:val="-4"/>
          <w:sz w:val="24"/>
          <w:szCs w:val="24"/>
          <w:lang w:eastAsia="uk-UA"/>
        </w:rPr>
        <w:t>.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spacing w:val="-4"/>
          <w:sz w:val="24"/>
          <w:szCs w:val="24"/>
          <w:lang w:eastAsia="uk-UA"/>
        </w:rPr>
      </w:pPr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lang w:eastAsia="uk-UA"/>
        </w:rPr>
        <w:t xml:space="preserve">Завершується вивчення хімії ознайомленням із зеленою хімією як новою філософією сучасного розвитку хімічної індустрії, наукових досліджень та світогляду молодого покоління хіміків. Її завдання – </w:t>
      </w:r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shd w:val="clear" w:color="auto" w:fill="FFFFFF"/>
          <w:lang w:eastAsia="uk-UA"/>
        </w:rPr>
        <w:t xml:space="preserve">допомогти людству у відборі таких вихідних матеріалів і схем технологічних процесів, які взагалі виключають використання будь-яких шкідливих вихідних речовин або їх утворення в процесі виробництва/використання хімічної продукції. 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Arial Unicode MS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lang w:eastAsia="uk-UA"/>
        </w:rPr>
        <w:t xml:space="preserve">Звертаємо увагу, що відповідно до «Програми з хімії для 10–11 класів закладів загальної середньої освіти. Рівень стандарту» в 11 класі на рівні стандарту не передбачено розгляд питань щодо електронних та графічних електронних формул, валентних можливостей та ступенів окиснення d-елементів (окрім </w:t>
      </w:r>
      <w:proofErr w:type="spellStart"/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lang w:eastAsia="uk-UA"/>
        </w:rPr>
        <w:t>Феруму</w:t>
      </w:r>
      <w:proofErr w:type="spellEnd"/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lang w:eastAsia="uk-UA"/>
        </w:rPr>
        <w:t>). Також програмою передбачено вивчення принципу роботи гальванічного елемента, проте електроліз не розглядається.</w:t>
      </w:r>
    </w:p>
    <w:p w:rsidR="00545768" w:rsidRPr="00FB19F9" w:rsidRDefault="00545768" w:rsidP="00545768">
      <w:pPr>
        <w:widowControl w:val="0"/>
        <w:shd w:val="clear" w:color="auto" w:fill="FFFFFF"/>
        <w:tabs>
          <w:tab w:val="left" w:pos="993"/>
        </w:tabs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Профільний рівень.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Програмою передбачено підготовку учнів з хімії на рівні, що забезпечує наступність між загальною середньою та професійною освітою.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 xml:space="preserve">З основної школи учні вже мають певні знання про неорганічні речовини, їхні основні класи, закономірності хімічних реакцій, розчини. Проте цих знань недостатньо для того, щоб розкрити особливості хімічних елементів та їхніх </w:t>
      </w:r>
      <w:proofErr w:type="spellStart"/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>сполук</w:t>
      </w:r>
      <w:proofErr w:type="spellEnd"/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>, пояснити залежність між складом, будовою, властивостями, способами одержання і застосування речовин. Тому, перш ніж розпочати вивчення неорганічної хімії, програмою передбачено як повторення основних хімічних понять, так і поглиблення їх змісту й розширення обсягу, а також уведення деяких нових хімічних понять. Зміст програми складають три розділи.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 xml:space="preserve">Розділ 1 «Повторення та поглиблення найважливіших теоретичних питань курсу хімії основної школи» передбачає повторення і поглиблення знань: а) про будову атома за рахунок розгляду енергії </w:t>
      </w:r>
      <w:proofErr w:type="spellStart"/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>йонізації</w:t>
      </w:r>
      <w:proofErr w:type="spellEnd"/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 xml:space="preserve"> та спорідненості до електрона, збудженого стану атома, електронної конфігурації атомів елементів ІV періоду Періодичної системи, ознайомлення з d-елементами; б) про будову речовини та окисно-відновні реакції, ознайомлення з їх типами, а також вивчення нового поняття “гідроліз солей”.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 xml:space="preserve">Розділи ІІ «Неметалічні елементи та їхні сполуки» і ІІІ «Металічні елементи та їхні сполуки» мають подібне структурування навчального матеріалу, що забезпечує однакову логічну послідовність розгляду всіх груп хімічних елементів за алгоритмом: положення елемента в періодичній системі – будова атома та його характеристики – будова простої речовини та її фізичні й хімічні властивості – склад, будова, фізичні та хімічні властивості найважливіших </w:t>
      </w:r>
      <w:proofErr w:type="spellStart"/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>сполук</w:t>
      </w:r>
      <w:proofErr w:type="spellEnd"/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 xml:space="preserve"> – поширення у природі та біологічна роль елементів – добування і застосування, вплив елементів та їх </w:t>
      </w:r>
      <w:proofErr w:type="spellStart"/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>сполук</w:t>
      </w:r>
      <w:proofErr w:type="spellEnd"/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 xml:space="preserve"> на організм людини і довкілля.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>Способи промислового виробництва найважливіших неорганічних речовин розглядаються на прикладах добування сульфатної кислоти, амоніаку, чавуну та сталі у відповідних темах, де вивчаються ці сполуки. Розглядаються основні наукові принципи виробництв, а також екологічні проблеми, що з ними пов’язані.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>У змісті курсу узагальнюються, поглиблюються та розширюються теоретичні знання учнів про хімічну реакцію. Так, вивченню промислового виробництва сульфатної кислоти передує опанування знань про хімічну рівновагу, які в подальшому використовуються і закріплюються під час вивчення виробництва амоніаку. У процесі розгляду способів добування металів вводиться поняття про електроліз розплавів і водних розчинів речовин.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>Зміст розділу ІV «</w:t>
      </w:r>
      <w:proofErr w:type="spellStart"/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>Узагальнювальне</w:t>
      </w:r>
      <w:proofErr w:type="spellEnd"/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t xml:space="preserve"> повторення найважливіших питань курсу хімії» присвячено систематизації та узагальненню знань про органічні й неорганічні речовини на </w:t>
      </w:r>
      <w:r w:rsidRPr="00FB19F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uk-UA"/>
        </w:rPr>
        <w:lastRenderedPageBreak/>
        <w:t>спільній теоретичній основі. Матеріал структурується навколо трьох основних блоків знань – про речовину, хімічну реакцію та роль хімії у житті суспільства.</w:t>
      </w:r>
    </w:p>
    <w:p w:rsidR="00545768" w:rsidRPr="00FB19F9" w:rsidRDefault="00545768" w:rsidP="00545768">
      <w:pPr>
        <w:widowControl w:val="0"/>
        <w:spacing w:after="0" w:line="226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Організацією Об’єднаних націй 2019 рік оголошено Міжнародним роком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Періодичної таблиці хімічних елементів (IYPT2019) на відзнаку 150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річниці створення цієї таблиці Дмитром Менделєєвим 1869 року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(</w:t>
      </w:r>
      <w:hyperlink r:id="rId10" w:tgtFrame="_blank" w:history="1">
        <w:r w:rsidRPr="00FB19F9">
          <w:rPr>
            <w:rStyle w:val="a3"/>
            <w:rFonts w:ascii="Times New Roman" w:eastAsia="Times New Roman" w:hAnsi="Times New Roman" w:cs="Times New Roman"/>
            <w:color w:val="1155CC"/>
            <w:spacing w:val="-4"/>
            <w:sz w:val="24"/>
            <w:szCs w:val="24"/>
            <w:lang w:eastAsia="ru-RU"/>
          </w:rPr>
          <w:t>https://en.unesco.org/commemorations/iypt2019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). З експозицією серії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постерів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різними мовами, включно з українською, які відображають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важливу роль хімії у нашому житті, історію відкриття, поширення в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природі та використання елементів Періодичної таблиці та їхніх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сполук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можна ознайомитись за посиланням: </w:t>
      </w:r>
      <w:hyperlink r:id="rId11" w:tgtFrame="_blank" w:history="1">
        <w:r w:rsidRPr="00FB19F9">
          <w:rPr>
            <w:rStyle w:val="a3"/>
            <w:rFonts w:ascii="Times New Roman" w:eastAsia="Times New Roman" w:hAnsi="Times New Roman" w:cs="Times New Roman"/>
            <w:color w:val="1155CC"/>
            <w:spacing w:val="-4"/>
            <w:sz w:val="24"/>
            <w:szCs w:val="24"/>
            <w:lang w:eastAsia="ru-RU"/>
          </w:rPr>
          <w:t>http://www.elementsinyourlife.org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  </w:t>
      </w:r>
    </w:p>
    <w:p w:rsidR="00545768" w:rsidRPr="00FB19F9" w:rsidRDefault="00545768" w:rsidP="0054576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Інформуємо, що відповідно до графіку проведення всеукраїнського конкурсу «Учитель року» у 2019/2020 навчальному році проводитиметься конкурс у номінації «Хімія». </w:t>
      </w:r>
    </w:p>
    <w:p w:rsidR="00545768" w:rsidRPr="00FB19F9" w:rsidRDefault="00545768" w:rsidP="00545768">
      <w:pPr>
        <w:widowControl w:val="0"/>
        <w:spacing w:after="0" w:line="226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Звертаємо увагу, що наказом Міністерства освіти і науки України від 26.06.2018 № 696 затверджено програми (</w:t>
      </w:r>
      <w:hyperlink r:id="rId12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https://cutt.ly/TtEFPO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), за якими починаючи з 2020 року буде проводитися зовнішнє незалежне оцінювання результатів навчання, здобутих на основі повної загальної середньої освіти.</w:t>
      </w:r>
    </w:p>
    <w:p w:rsidR="00545768" w:rsidRPr="00FB19F9" w:rsidRDefault="00545768" w:rsidP="00545768">
      <w:pPr>
        <w:widowControl w:val="0"/>
        <w:spacing w:after="0" w:line="226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8B7AF4" w:rsidRDefault="00D31D38"/>
    <w:sectPr w:rsidR="008B7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20AE0"/>
    <w:multiLevelType w:val="hybridMultilevel"/>
    <w:tmpl w:val="B608CE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51669"/>
    <w:multiLevelType w:val="multilevel"/>
    <w:tmpl w:val="CE0C1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92"/>
    <w:rsid w:val="00172415"/>
    <w:rsid w:val="00545768"/>
    <w:rsid w:val="00D31D38"/>
    <w:rsid w:val="00D76301"/>
    <w:rsid w:val="00F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BDFE8-DE1D-4776-B078-756FFB3A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7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wh2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wh2BR" TargetMode="External"/><Relationship Id="rId12" Type="http://schemas.openxmlformats.org/officeDocument/2006/relationships/hyperlink" Target="https://cutt.ly/TtEF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GDh9gC" TargetMode="External"/><Relationship Id="rId11" Type="http://schemas.openxmlformats.org/officeDocument/2006/relationships/hyperlink" Target="http://www.elementsinyourlife.org/" TargetMode="External"/><Relationship Id="rId5" Type="http://schemas.openxmlformats.org/officeDocument/2006/relationships/hyperlink" Target="https://goo.gl/GDh9gC" TargetMode="External"/><Relationship Id="rId10" Type="http://schemas.openxmlformats.org/officeDocument/2006/relationships/hyperlink" Target="https://en.unesco.org/commemorations/iypt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TnGiJ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10701</Words>
  <Characters>6100</Characters>
  <Application>Microsoft Office Word</Application>
  <DocSecurity>0</DocSecurity>
  <Lines>50</Lines>
  <Paragraphs>33</Paragraphs>
  <ScaleCrop>false</ScaleCrop>
  <Company/>
  <LinksUpToDate>false</LinksUpToDate>
  <CharactersWithSpaces>16768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2019-08-23T10:34:00Z</dcterms:created>
  <dcterms:modified xsi:type="dcterms:W3CDTF">2019-08-23T11:11:00Z</dcterms:modified>
</cp:coreProperties>
</file>