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r w:rsidRPr="00026854">
        <w:rPr>
          <w:rStyle w:val="a4"/>
          <w:rFonts w:ascii="Times New Roman" w:eastAsia="Times New Roman" w:hAnsi="Times New Roman" w:cs="Times New Roman"/>
          <w:sz w:val="28"/>
          <w:szCs w:val="24"/>
          <w:lang w:eastAsia="ru-RU"/>
        </w:rPr>
        <w:fldChar w:fldCharType="begin"/>
      </w:r>
      <w:r w:rsidRPr="00026854">
        <w:rPr>
          <w:rStyle w:val="a4"/>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4"/>
          <w:rFonts w:ascii="Times New Roman" w:eastAsia="Times New Roman" w:hAnsi="Times New Roman" w:cs="Times New Roman"/>
          <w:sz w:val="28"/>
          <w:szCs w:val="24"/>
          <w:lang w:eastAsia="ru-RU"/>
        </w:rPr>
        <w:fldChar w:fldCharType="separate"/>
      </w:r>
      <w:r w:rsidRPr="00026854">
        <w:rPr>
          <w:rStyle w:val="a4"/>
          <w:rFonts w:ascii="Times New Roman" w:eastAsia="Times New Roman" w:hAnsi="Times New Roman" w:cs="Times New Roman"/>
          <w:sz w:val="28"/>
          <w:szCs w:val="24"/>
          <w:lang w:eastAsia="ru-RU"/>
        </w:rPr>
        <w:t>Лист № 1/11-5966 від 01.07.2019</w:t>
      </w:r>
      <w:r w:rsidRPr="00026854">
        <w:rPr>
          <w:rStyle w:val="a4"/>
          <w:rFonts w:ascii="Times New Roman" w:eastAsia="Times New Roman" w:hAnsi="Times New Roman" w:cs="Times New Roman"/>
          <w:sz w:val="28"/>
          <w:szCs w:val="24"/>
          <w:lang w:eastAsia="ru-RU"/>
        </w:rPr>
        <w:fldChar w:fldCharType="end"/>
      </w: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C621A9" w:rsidRPr="00026854" w:rsidRDefault="00C621A9" w:rsidP="00C621A9">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C621A9" w:rsidRPr="00026854" w:rsidRDefault="00C621A9" w:rsidP="00C621A9">
      <w:pPr>
        <w:spacing w:after="0" w:line="240" w:lineRule="auto"/>
        <w:ind w:left="5387"/>
        <w:rPr>
          <w:rFonts w:ascii="Times New Roman" w:eastAsia="Times New Roman" w:hAnsi="Times New Roman" w:cs="Times New Roman"/>
          <w:sz w:val="28"/>
          <w:szCs w:val="24"/>
          <w:lang w:eastAsia="ru-RU"/>
        </w:rPr>
      </w:pPr>
    </w:p>
    <w:p w:rsidR="00C621A9" w:rsidRPr="00026854" w:rsidRDefault="00C621A9" w:rsidP="00C621A9">
      <w:pPr>
        <w:spacing w:after="0" w:line="240" w:lineRule="auto"/>
        <w:rPr>
          <w:rFonts w:ascii="Times New Roman" w:eastAsia="Times New Roman" w:hAnsi="Times New Roman" w:cs="Times New Roman"/>
          <w:sz w:val="28"/>
          <w:szCs w:val="28"/>
          <w:lang w:eastAsia="ru-RU"/>
        </w:rPr>
      </w:pPr>
    </w:p>
    <w:p w:rsidR="00C621A9" w:rsidRPr="00026854" w:rsidRDefault="00C621A9" w:rsidP="00C621A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C621A9" w:rsidRPr="00026854" w:rsidRDefault="00C621A9" w:rsidP="00C621A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C621A9" w:rsidRPr="00026854" w:rsidRDefault="00C621A9" w:rsidP="00C621A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C621A9" w:rsidRPr="00026854" w:rsidRDefault="00C621A9" w:rsidP="00C621A9">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C621A9" w:rsidRPr="00026854" w:rsidRDefault="00C621A9" w:rsidP="00C621A9">
      <w:pPr>
        <w:spacing w:after="0" w:line="240" w:lineRule="auto"/>
        <w:rPr>
          <w:rFonts w:ascii="Times New Roman" w:eastAsia="Times New Roman" w:hAnsi="Times New Roman" w:cs="Times New Roman"/>
          <w:sz w:val="28"/>
          <w:szCs w:val="28"/>
          <w:lang w:eastAsia="ru-RU"/>
        </w:rPr>
      </w:pPr>
    </w:p>
    <w:p w:rsidR="00C621A9" w:rsidRPr="00026854" w:rsidRDefault="00C621A9" w:rsidP="00C621A9">
      <w:pPr>
        <w:spacing w:after="0" w:line="240" w:lineRule="auto"/>
        <w:ind w:firstLine="720"/>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C621A9" w:rsidRPr="00026854" w:rsidRDefault="00C621A9" w:rsidP="00C621A9">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C621A9" w:rsidRPr="00026854" w:rsidRDefault="00C621A9" w:rsidP="00C621A9">
      <w:pPr>
        <w:spacing w:after="0" w:line="240" w:lineRule="auto"/>
        <w:ind w:firstLine="720"/>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ind w:firstLine="720"/>
        <w:jc w:val="both"/>
        <w:rPr>
          <w:rFonts w:ascii="Times New Roman" w:eastAsia="Times New Roman" w:hAnsi="Times New Roman" w:cs="Times New Roman"/>
          <w:sz w:val="28"/>
          <w:szCs w:val="24"/>
          <w:lang w:eastAsia="ru-RU"/>
        </w:rPr>
      </w:pPr>
    </w:p>
    <w:p w:rsidR="00C621A9" w:rsidRPr="00026854" w:rsidRDefault="00C621A9" w:rsidP="00C621A9">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C621A9" w:rsidRDefault="00C621A9" w:rsidP="00C621A9">
      <w:pPr>
        <w:spacing w:after="0" w:line="240" w:lineRule="auto"/>
        <w:jc w:val="both"/>
        <w:rPr>
          <w:rFonts w:ascii="Times New Roman" w:eastAsia="Times New Roman" w:hAnsi="Times New Roman" w:cs="Times New Roman"/>
          <w:lang w:eastAsia="ru-RU"/>
        </w:rPr>
      </w:pPr>
    </w:p>
    <w:p w:rsidR="00C621A9" w:rsidRPr="00026854" w:rsidRDefault="00C621A9" w:rsidP="00C621A9">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C621A9" w:rsidRPr="00026854" w:rsidRDefault="00C621A9" w:rsidP="00C621A9">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C621A9" w:rsidRPr="00026854" w:rsidRDefault="00C621A9" w:rsidP="00C621A9">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C621A9" w:rsidRPr="00026854" w:rsidRDefault="00C621A9" w:rsidP="00C621A9">
      <w:pPr>
        <w:spacing w:after="0" w:line="240" w:lineRule="auto"/>
        <w:jc w:val="both"/>
        <w:rPr>
          <w:rFonts w:ascii="Times New Roman" w:eastAsia="Times New Roman" w:hAnsi="Times New Roman" w:cs="Times New Roman"/>
          <w:lang w:eastAsia="ru-RU"/>
        </w:rPr>
      </w:pPr>
    </w:p>
    <w:p w:rsidR="00C621A9" w:rsidRPr="00026854" w:rsidRDefault="00C621A9" w:rsidP="00C621A9">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C621A9" w:rsidRPr="00026854" w:rsidRDefault="00C621A9" w:rsidP="00C621A9">
      <w:pPr>
        <w:widowControl w:val="0"/>
        <w:numPr>
          <w:ilvl w:val="0"/>
          <w:numId w:val="4"/>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C621A9" w:rsidRPr="00026854" w:rsidRDefault="00C621A9" w:rsidP="00C621A9">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C621A9" w:rsidRDefault="00C621A9" w:rsidP="007A3915">
      <w:pPr>
        <w:widowControl w:val="0"/>
        <w:spacing w:after="0" w:line="226" w:lineRule="auto"/>
        <w:jc w:val="center"/>
        <w:rPr>
          <w:rFonts w:ascii="Times New Roman" w:eastAsia="Times New Roman" w:hAnsi="Times New Roman" w:cs="Times New Roman"/>
          <w:b/>
          <w:spacing w:val="-4"/>
          <w:sz w:val="24"/>
          <w:szCs w:val="24"/>
          <w:lang w:eastAsia="ru-RU"/>
        </w:rPr>
      </w:pPr>
    </w:p>
    <w:p w:rsidR="007A3915" w:rsidRPr="00FB19F9" w:rsidRDefault="007A3915" w:rsidP="007A3915">
      <w:pPr>
        <w:widowControl w:val="0"/>
        <w:spacing w:after="0" w:line="226" w:lineRule="auto"/>
        <w:jc w:val="center"/>
        <w:rPr>
          <w:rFonts w:ascii="Times New Roman" w:eastAsia="Times New Roman" w:hAnsi="Times New Roman" w:cs="Times New Roman"/>
          <w:b/>
          <w:bCs/>
          <w:spacing w:val="-4"/>
          <w:sz w:val="24"/>
          <w:szCs w:val="24"/>
          <w:lang w:eastAsia="pl-PL"/>
        </w:rPr>
      </w:pPr>
      <w:bookmarkStart w:id="0" w:name="_GoBack"/>
      <w:bookmarkEnd w:id="0"/>
      <w:r w:rsidRPr="00FB19F9">
        <w:rPr>
          <w:rFonts w:ascii="Times New Roman" w:eastAsia="Times New Roman" w:hAnsi="Times New Roman" w:cs="Times New Roman"/>
          <w:b/>
          <w:spacing w:val="-4"/>
          <w:sz w:val="24"/>
          <w:szCs w:val="24"/>
          <w:lang w:eastAsia="ru-RU"/>
        </w:rPr>
        <w:lastRenderedPageBreak/>
        <w:t xml:space="preserve">Вивчення мов корінних народів або  національних меншин, інтегрованого курсу «Література» </w:t>
      </w:r>
    </w:p>
    <w:p w:rsidR="007A3915" w:rsidRPr="00FB19F9" w:rsidRDefault="007A3915" w:rsidP="007A391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Основними завданнями мовно-літературної освіти у закладах загальної середньої освіти, де функціонують класи з навчанням (вивченням) мов корінних народів або національних меншин  є формування гуманістичного і державного світогляду, активної громадянської позиції, почуття патріотизму в учнів, розширення їх культурно-пізнавальних інтересів, виховання поваги  до традицій свого народу та толерантного ставлення до культури та традицій інших народів. </w:t>
      </w:r>
    </w:p>
    <w:p w:rsidR="007A3915" w:rsidRPr="00FB19F9" w:rsidRDefault="007A3915" w:rsidP="007A3915">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bCs/>
          <w:spacing w:val="-4"/>
          <w:sz w:val="24"/>
          <w:szCs w:val="24"/>
          <w:lang w:eastAsia="ru-RU"/>
        </w:rPr>
        <w:t xml:space="preserve"> У 2019/2020 навчальному</w:t>
      </w:r>
      <w:r w:rsidRPr="00FB19F9">
        <w:rPr>
          <w:rFonts w:ascii="Times New Roman" w:eastAsia="Times New Roman" w:hAnsi="Times New Roman" w:cs="Times New Roman"/>
          <w:spacing w:val="-4"/>
          <w:sz w:val="24"/>
          <w:szCs w:val="24"/>
          <w:lang w:eastAsia="ru-RU"/>
        </w:rPr>
        <w:t xml:space="preserve"> році вчителі-словесники закладів загальної середньої освіти, де функціонують класи   з навчанням (вивченням) мов корінних народів або національних меншин,  працюватимуть за Типовими освітніми програмами, затвердженими наказами Міністерства освіти і науки України:</w:t>
      </w:r>
    </w:p>
    <w:p w:rsidR="007A3915" w:rsidRPr="00FB19F9" w:rsidRDefault="007A3915" w:rsidP="007A3915">
      <w:pPr>
        <w:widowControl w:val="0"/>
        <w:numPr>
          <w:ilvl w:val="0"/>
          <w:numId w:val="2"/>
        </w:numPr>
        <w:spacing w:after="0" w:line="226" w:lineRule="auto"/>
        <w:ind w:left="0"/>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від  20.04.2018 № 405  «Про затвердження типової освітньої програми закладів освіти  ІІ ступеня»;</w:t>
      </w:r>
    </w:p>
    <w:p w:rsidR="007A3915" w:rsidRPr="00FB19F9" w:rsidRDefault="007A3915" w:rsidP="007A3915">
      <w:pPr>
        <w:widowControl w:val="0"/>
        <w:numPr>
          <w:ilvl w:val="0"/>
          <w:numId w:val="2"/>
        </w:numPr>
        <w:spacing w:after="0" w:line="226" w:lineRule="auto"/>
        <w:ind w:left="0"/>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від 20.04.2018  № 408 «Про затвердження типової освітньої програми закладів освіти  ІІІ ступеня» .</w:t>
      </w:r>
    </w:p>
    <w:p w:rsidR="007A3915" w:rsidRPr="00FB19F9" w:rsidRDefault="007A3915" w:rsidP="007A3915">
      <w:pPr>
        <w:widowControl w:val="0"/>
        <w:spacing w:after="0" w:line="226" w:lineRule="auto"/>
        <w:ind w:firstLine="709"/>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Звертаємо увагу,  що Типову освітню програму для закладів освіти                            ІІІ ступеня, яку затверджено наказом МОН від 20.04.2018 року № 406,  було введено в дію для денних закладів загальної середньої освіти тільки на 2018/2019 навчальний рік, тому вона знімається з виконання.</w:t>
      </w:r>
    </w:p>
    <w:p w:rsidR="007A3915" w:rsidRPr="00FB19F9" w:rsidRDefault="007A3915" w:rsidP="007A391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Нагадуємо, що відповідно до Закону України «Про освіту» розширюються права закладів загальної середньої освіти, які, розробляючи свої робочі освітні програми на основі зазначених вище Типових освітніх програм, можуть самостійно вибудовувати конкретне співвідношення навчального часу та перелік предметів, за якими здійснюватися навчання державною мовою та мовою корінних народів або національних меншин; </w:t>
      </w:r>
      <w:r w:rsidRPr="00FB19F9">
        <w:rPr>
          <w:rFonts w:ascii="Times New Roman" w:eastAsia="Times New Roman" w:hAnsi="Times New Roman" w:cs="Times New Roman"/>
          <w:spacing w:val="-4"/>
          <w:sz w:val="24"/>
          <w:szCs w:val="24"/>
          <w:lang w:eastAsia="ru-RU"/>
        </w:rPr>
        <w:t>розподіл навчального навантаження між мовою відповідного корінного народу або національної меншини та іноземною мовою тощо.</w:t>
      </w:r>
    </w:p>
    <w:p w:rsidR="007A3915" w:rsidRPr="00FB19F9" w:rsidRDefault="007A3915" w:rsidP="007A3915">
      <w:pPr>
        <w:widowControl w:val="0"/>
        <w:spacing w:after="0" w:line="226" w:lineRule="auto"/>
        <w:ind w:firstLine="708"/>
        <w:contextualSpacing/>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Робочі освітні програми закладів загальної середньої освіти затверджуються керівництвом навчального закладу та не потребують погодження з відповідним  органом управління освітою. </w:t>
      </w:r>
    </w:p>
    <w:p w:rsidR="007A3915" w:rsidRPr="00FB19F9" w:rsidRDefault="007A3915" w:rsidP="007A3915">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При формуванні варіативної складової навчального плану її зміст визначається закладами загальної середньої освіти самостійно, при цьому враховуються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p>
    <w:p w:rsidR="007A3915" w:rsidRPr="00FB19F9" w:rsidRDefault="007A3915" w:rsidP="007A3915">
      <w:pPr>
        <w:widowControl w:val="0"/>
        <w:spacing w:after="0" w:line="226" w:lineRule="auto"/>
        <w:ind w:firstLine="72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Відповідно до розділу ХІІ «Прикінцеві та перехідні положення» З</w:t>
      </w:r>
      <w:r w:rsidRPr="00FB19F9">
        <w:rPr>
          <w:rFonts w:ascii="Times New Roman" w:eastAsia="Times New Roman" w:hAnsi="Times New Roman" w:cs="Times New Roman"/>
          <w:spacing w:val="-4"/>
          <w:sz w:val="24"/>
          <w:szCs w:val="24"/>
          <w:lang w:eastAsia="ru-RU"/>
        </w:rPr>
        <w:t xml:space="preserve">акону </w:t>
      </w:r>
      <w:r w:rsidRPr="00FB19F9">
        <w:rPr>
          <w:rFonts w:ascii="Times New Roman" w:eastAsia="Times New Roman" w:hAnsi="Times New Roman" w:cs="Times New Roman"/>
          <w:color w:val="000000"/>
          <w:spacing w:val="-4"/>
          <w:sz w:val="24"/>
          <w:szCs w:val="24"/>
          <w:lang w:eastAsia="ru-RU"/>
        </w:rPr>
        <w:t xml:space="preserve">України «Про освіту» визначено, що </w:t>
      </w:r>
      <w:r w:rsidRPr="00FB19F9">
        <w:rPr>
          <w:rFonts w:ascii="Times New Roman" w:eastAsia="Times New Roman" w:hAnsi="Times New Roman" w:cs="Times New Roman"/>
          <w:color w:val="000000"/>
          <w:spacing w:val="-4"/>
          <w:sz w:val="24"/>
          <w:szCs w:val="24"/>
          <w:shd w:val="clear" w:color="auto" w:fill="FFFFFF"/>
          <w:lang w:eastAsia="ru-RU"/>
        </w:rPr>
        <w:t>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w:t>
      </w:r>
      <w:r w:rsidRPr="00FB19F9">
        <w:rPr>
          <w:rFonts w:ascii="Times New Roman" w:eastAsia="Times New Roman" w:hAnsi="Times New Roman" w:cs="Times New Roman"/>
          <w:color w:val="FF0000"/>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Починаючи з 2020 року, буде поступово здійснюватися розширення вивчення навчальних предметів державною мовою. </w:t>
      </w:r>
    </w:p>
    <w:p w:rsidR="007A3915" w:rsidRPr="00FB19F9" w:rsidRDefault="007A3915" w:rsidP="007A3915">
      <w:pPr>
        <w:widowControl w:val="0"/>
        <w:spacing w:after="0" w:line="226" w:lineRule="auto"/>
        <w:ind w:firstLine="567"/>
        <w:jc w:val="both"/>
        <w:rPr>
          <w:rFonts w:ascii="Times New Roman" w:eastAsia="Times New Roman" w:hAnsi="Times New Roman" w:cs="Times New Roman"/>
          <w:color w:val="000000"/>
          <w:spacing w:val="-4"/>
          <w:sz w:val="24"/>
          <w:szCs w:val="24"/>
          <w:shd w:val="clear" w:color="auto" w:fill="FFFFFF"/>
          <w:lang w:eastAsia="ru-RU"/>
        </w:rPr>
      </w:pPr>
      <w:r w:rsidRPr="00FB19F9">
        <w:rPr>
          <w:rFonts w:ascii="Times New Roman" w:eastAsia="Times New Roman" w:hAnsi="Times New Roman" w:cs="Times New Roman"/>
          <w:color w:val="000000"/>
          <w:spacing w:val="-4"/>
          <w:sz w:val="24"/>
          <w:szCs w:val="24"/>
          <w:shd w:val="clear" w:color="auto" w:fill="FFFFFF"/>
          <w:lang w:eastAsia="ru-RU"/>
        </w:rPr>
        <w:t>У зв’язку з цим наказом Міністерства освіти і науки України від                    27.03.2019 р. № 399 затверджено дорожню карту імплементації статті 7 Закону України «Про освіту» у закладах загальної середньої освіти на 2019-2023 роки, якою передбачено комплекс заходів з метою реалізації вищезазначеної статті.</w:t>
      </w:r>
    </w:p>
    <w:p w:rsidR="007A3915" w:rsidRPr="00FB19F9" w:rsidRDefault="007A3915" w:rsidP="007A3915">
      <w:pPr>
        <w:widowControl w:val="0"/>
        <w:spacing w:after="0" w:line="226" w:lineRule="auto"/>
        <w:ind w:firstLine="567"/>
        <w:jc w:val="both"/>
        <w:rPr>
          <w:rFonts w:ascii="Times New Roman" w:eastAsia="Times New Roman" w:hAnsi="Times New Roman" w:cs="Times New Roman"/>
          <w:color w:val="000000"/>
          <w:spacing w:val="-4"/>
          <w:sz w:val="24"/>
          <w:szCs w:val="24"/>
          <w:shd w:val="clear" w:color="auto" w:fill="FFFFFF"/>
          <w:lang w:eastAsia="ru-RU"/>
        </w:rPr>
      </w:pPr>
      <w:r w:rsidRPr="00FB19F9">
        <w:rPr>
          <w:rFonts w:ascii="Times New Roman" w:eastAsia="Times New Roman" w:hAnsi="Times New Roman" w:cs="Times New Roman"/>
          <w:spacing w:val="-4"/>
          <w:sz w:val="24"/>
          <w:szCs w:val="24"/>
          <w:lang w:eastAsia="ru-RU"/>
        </w:rPr>
        <w:t xml:space="preserve">Мови і літератури корінних народів та національних меншин у закладах загальної середньої освіти вивчаються за навчальними програмами, які є складовою типових освітніх програм, розкривають роль мов та літератур національних меншин у формуванні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та відображають </w:t>
      </w:r>
      <w:proofErr w:type="spellStart"/>
      <w:r w:rsidRPr="00FB19F9">
        <w:rPr>
          <w:rFonts w:ascii="Times New Roman" w:eastAsia="Times New Roman" w:hAnsi="Times New Roman" w:cs="Times New Roman"/>
          <w:spacing w:val="-4"/>
          <w:sz w:val="24"/>
          <w:szCs w:val="24"/>
          <w:lang w:eastAsia="ru-RU"/>
        </w:rPr>
        <w:t>компетентнісний</w:t>
      </w:r>
      <w:proofErr w:type="spellEnd"/>
      <w:r w:rsidRPr="00FB19F9">
        <w:rPr>
          <w:rFonts w:ascii="Times New Roman" w:eastAsia="Times New Roman" w:hAnsi="Times New Roman" w:cs="Times New Roman"/>
          <w:spacing w:val="-4"/>
          <w:sz w:val="24"/>
          <w:szCs w:val="24"/>
          <w:lang w:eastAsia="ru-RU"/>
        </w:rPr>
        <w:t xml:space="preserve"> підхід до їх вивчення.</w:t>
      </w:r>
    </w:p>
    <w:p w:rsidR="007A3915" w:rsidRPr="00FB19F9" w:rsidRDefault="007A3915" w:rsidP="007A3915">
      <w:pPr>
        <w:widowControl w:val="0"/>
        <w:spacing w:after="0" w:line="226" w:lineRule="auto"/>
        <w:ind w:firstLine="709"/>
        <w:jc w:val="both"/>
        <w:rPr>
          <w:rFonts w:ascii="Times New Roman" w:eastAsia="Calibri" w:hAnsi="Times New Roman" w:cs="Calibri"/>
          <w:spacing w:val="-4"/>
          <w:sz w:val="24"/>
          <w:szCs w:val="24"/>
        </w:rPr>
      </w:pPr>
      <w:r w:rsidRPr="00FB19F9">
        <w:rPr>
          <w:rFonts w:ascii="Times New Roman" w:eastAsia="Calibri" w:hAnsi="Times New Roman" w:cs="Calibri"/>
          <w:b/>
          <w:spacing w:val="-4"/>
          <w:sz w:val="24"/>
          <w:szCs w:val="24"/>
        </w:rPr>
        <w:t>У   5-9 класах</w:t>
      </w:r>
      <w:r w:rsidRPr="00FB19F9">
        <w:rPr>
          <w:rFonts w:ascii="Times New Roman" w:eastAsia="Calibri" w:hAnsi="Times New Roman" w:cs="Calibri"/>
          <w:spacing w:val="-4"/>
          <w:sz w:val="24"/>
          <w:szCs w:val="24"/>
        </w:rPr>
        <w:t xml:space="preserve"> заклади загальної середньої освіти продовжують працювати за типовими навчальними програмами, затвердженими наказом Міністерства освіти і науки України від 07.06.2017 № 804; </w:t>
      </w:r>
      <w:r w:rsidRPr="00FB19F9">
        <w:rPr>
          <w:rFonts w:ascii="Times New Roman" w:eastAsia="Calibri" w:hAnsi="Times New Roman" w:cs="Calibri"/>
          <w:b/>
          <w:spacing w:val="-4"/>
          <w:sz w:val="24"/>
          <w:szCs w:val="24"/>
        </w:rPr>
        <w:t>у 10-11 класах</w:t>
      </w:r>
      <w:r w:rsidRPr="00FB19F9">
        <w:rPr>
          <w:rFonts w:ascii="Times New Roman" w:eastAsia="Calibri" w:hAnsi="Times New Roman" w:cs="Calibri"/>
          <w:spacing w:val="-4"/>
          <w:sz w:val="24"/>
          <w:szCs w:val="24"/>
        </w:rPr>
        <w:t xml:space="preserve"> – за наказом МОН від 23.10 2017 № 1407. </w:t>
      </w:r>
    </w:p>
    <w:p w:rsidR="007A3915" w:rsidRPr="00FB19F9" w:rsidRDefault="007A3915" w:rsidP="007A3915">
      <w:pPr>
        <w:widowControl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Навчальна програма не обмежує самостійності й творчої ініціативи вчителя в реалізації основних ліній змісту навчання мовам та літературам національних меншин. </w:t>
      </w:r>
    </w:p>
    <w:p w:rsidR="007A3915" w:rsidRPr="00FB19F9" w:rsidRDefault="007A3915" w:rsidP="007A3915">
      <w:pPr>
        <w:widowControl w:val="0"/>
        <w:spacing w:after="0" w:line="226" w:lineRule="auto"/>
        <w:ind w:firstLine="720"/>
        <w:jc w:val="both"/>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spacing w:val="-4"/>
          <w:sz w:val="24"/>
          <w:szCs w:val="24"/>
          <w:lang w:eastAsia="ru-RU"/>
        </w:rPr>
        <w:t xml:space="preserve">У пояснювальних записках до чинних програм зазначено, що кількість годин на вивчення розділів і тем є орієнтовною, тому вчитель, виходячи з конкретних умов навчання, має право самостійно здійснювати перерозподіл годин протягом всього навчального року та реалізувати зміст навчання за рахунок резервного часу або, за необхідності, інтенсифікації навчального процесу.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Навчальні програми та підручники до них  розроблено на основі Державного стандарту базової і повної загальної середньої освіти, затвердженого постановою Кабінету Міністрів України від 23.11.2011   № 1392, з урахуванням Державного стандарту початкової загальної освіти, затвердженого постановою Кабінету Міністрів України від 20.04.2011 № 462, та   положень </w:t>
      </w:r>
      <w:r w:rsidRPr="00FB19F9">
        <w:rPr>
          <w:rFonts w:ascii="Times New Roman" w:eastAsia="Times New Roman" w:hAnsi="Times New Roman" w:cs="Times New Roman"/>
          <w:spacing w:val="-4"/>
          <w:sz w:val="24"/>
          <w:szCs w:val="24"/>
          <w:lang w:eastAsia="ru-RU"/>
        </w:rPr>
        <w:lastRenderedPageBreak/>
        <w:t xml:space="preserve">концепції «Нова українська школа» (2016 р.). </w:t>
      </w:r>
    </w:p>
    <w:p w:rsidR="007A3915" w:rsidRPr="00FB19F9" w:rsidRDefault="007A3915" w:rsidP="007A3915">
      <w:pPr>
        <w:widowControl w:val="0"/>
        <w:spacing w:after="0" w:line="226" w:lineRule="auto"/>
        <w:ind w:firstLine="709"/>
        <w:contextualSpacing/>
        <w:jc w:val="both"/>
        <w:rPr>
          <w:rFonts w:ascii="Times New Roman" w:eastAsia="Times New Roman" w:hAnsi="Times New Roman" w:cs="Times New Roman"/>
          <w:b/>
          <w:bCs/>
          <w:spacing w:val="-4"/>
          <w:sz w:val="24"/>
          <w:szCs w:val="24"/>
          <w:lang w:eastAsia="ru-RU"/>
        </w:rPr>
      </w:pPr>
      <w:r w:rsidRPr="00FB19F9">
        <w:rPr>
          <w:rFonts w:ascii="Times New Roman" w:eastAsia="Times New Roman" w:hAnsi="Times New Roman" w:cs="Times New Roman"/>
          <w:b/>
          <w:spacing w:val="-4"/>
          <w:sz w:val="24"/>
          <w:szCs w:val="24"/>
          <w:lang w:eastAsia="ru-RU"/>
        </w:rPr>
        <w:t>Нагадуємо, що у 5-9 класах</w:t>
      </w:r>
      <w:r w:rsidRPr="00FB19F9">
        <w:rPr>
          <w:rFonts w:ascii="Times New Roman" w:eastAsia="Times New Roman" w:hAnsi="Times New Roman" w:cs="Times New Roman"/>
          <w:spacing w:val="-4"/>
          <w:sz w:val="24"/>
          <w:szCs w:val="24"/>
          <w:lang w:eastAsia="ru-RU"/>
        </w:rPr>
        <w:t xml:space="preserve"> вивчається інтегрований курс «Література» (національної меншини та зарубіжна).</w:t>
      </w:r>
      <w:r w:rsidRPr="00FB19F9">
        <w:rPr>
          <w:rFonts w:ascii="Times New Roman" w:eastAsia="Times New Roman" w:hAnsi="Times New Roman" w:cs="Times New Roman"/>
          <w:b/>
          <w:bCs/>
          <w:spacing w:val="-4"/>
          <w:sz w:val="24"/>
          <w:szCs w:val="24"/>
          <w:lang w:eastAsia="ru-RU"/>
        </w:rPr>
        <w:t xml:space="preserve">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
          <w:spacing w:val="-4"/>
          <w:sz w:val="24"/>
          <w:szCs w:val="24"/>
          <w:lang w:eastAsia="ru-RU"/>
        </w:rPr>
        <w:t>У 10-11 класах</w:t>
      </w:r>
      <w:r w:rsidRPr="00FB19F9">
        <w:rPr>
          <w:rFonts w:ascii="Times New Roman" w:eastAsia="Times New Roman" w:hAnsi="Times New Roman" w:cs="Times New Roman"/>
          <w:spacing w:val="-4"/>
          <w:sz w:val="24"/>
          <w:szCs w:val="24"/>
          <w:lang w:eastAsia="ru-RU"/>
        </w:rPr>
        <w:t xml:space="preserve"> навчальні предмети «Мова національної меншини» та інтегрований курс «Література» (національної меншини та зарубіжна)  в закладах загальної середньої освіти, де функціонують класи з навчанням  мовами національних меншин за новим типовим навчальним планом на рівні стандарту (див. наказ МОН від 20.04 2018 № 408) трансформується  в інтегрований курс  «Мова та література корінного народу або національної меншини».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Предмет «Зарубіжна література» виокремлюється в окремий курс, який </w:t>
      </w:r>
      <w:proofErr w:type="spellStart"/>
      <w:r w:rsidRPr="00FB19F9">
        <w:rPr>
          <w:rFonts w:ascii="Times New Roman" w:eastAsia="Times New Roman" w:hAnsi="Times New Roman" w:cs="Times New Roman"/>
          <w:spacing w:val="-4"/>
          <w:sz w:val="24"/>
          <w:szCs w:val="24"/>
          <w:lang w:eastAsia="ru-RU"/>
        </w:rPr>
        <w:t>вивчаєтьсч</w:t>
      </w:r>
      <w:proofErr w:type="spellEnd"/>
      <w:r w:rsidRPr="00FB19F9">
        <w:rPr>
          <w:rFonts w:ascii="Times New Roman" w:eastAsia="Times New Roman" w:hAnsi="Times New Roman" w:cs="Times New Roman"/>
          <w:spacing w:val="-4"/>
          <w:sz w:val="24"/>
          <w:szCs w:val="24"/>
          <w:lang w:eastAsia="ru-RU"/>
        </w:rPr>
        <w:t xml:space="preserve"> за типовою навчальною програмою та підручником для закладів загальної середньої освіти з навчанням українською мовою.       Однак, викладання предмету «Зарубіжна література» здійснюватиметься мовою навчання закладу загальної середньої освіти (угорською, польською та ін.) за підручниками, що будуть перекладені відповідною мовою національної меншини.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На філологічному рівні в 10 класі «Мова національних меншин» та «Література національних меншин» вивчаються як окремі предмети (відповідно З год. та 2 год. на тиждень). Окреме вивчення зазначених предметів може здійснюватися і на рівні стандарту, але за наявністю затвердженої навчальної програми та підручників до неї.</w:t>
      </w:r>
    </w:p>
    <w:p w:rsidR="007A3915" w:rsidRPr="00FB19F9" w:rsidRDefault="007A3915" w:rsidP="007A3915">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2019-2010 навчальному році в 10-11 класах необхідно працювати за такими освітніми  програмами</w:t>
      </w:r>
      <w:r w:rsidRPr="00FB19F9">
        <w:rPr>
          <w:rFonts w:ascii="Times New Roman" w:eastAsia="Times New Roman" w:hAnsi="Times New Roman" w:cs="Times New Roman"/>
          <w:iCs/>
          <w:spacing w:val="-4"/>
          <w:sz w:val="24"/>
          <w:szCs w:val="24"/>
          <w:lang w:eastAsia="ru-RU"/>
        </w:rPr>
        <w:t>:</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1"/>
        <w:gridCol w:w="3824"/>
      </w:tblGrid>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                      </w:t>
            </w: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Болгарська мова для загальноосвітніх навчальних закладів з навчанням українською мовою (10-11 класи)</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Гагаузька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vAlign w:val="center"/>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Кримськотатарська література для загальноосвітніх навчальних закладів з навчанням кримськотатарською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vAlign w:val="center"/>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Кримськотатарська мова для загальноосвітніх навчальних закладів з навчанням кримськотатарською мовою </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Мова іврит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Молдовська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Новогрецька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Польська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Ромська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Російська мова (початок вивчення з 1 класу)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Російська мова (початок вивчення з 5 класу)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Румунська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Словацька мова для загальноосвітніх навчальних закладів з навчанням українською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Молдовська  література  для загальноосвітніх навчальних закладів з навчанням молдовською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Молдовська мова для загальноосвітніх навчальних закладів з навчанням молдовською мовою</w:t>
            </w:r>
          </w:p>
        </w:tc>
        <w:tc>
          <w:tcPr>
            <w:tcW w:w="3824"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Молдовська мова та література (інтегрований курс) для загальноосвітніх навчальних закладів з навчанням молдовською мовою</w:t>
            </w:r>
          </w:p>
        </w:tc>
        <w:tc>
          <w:tcPr>
            <w:tcW w:w="3824"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Польська література для загальноосвітніх навчальних </w:t>
            </w:r>
            <w:r w:rsidRPr="00FB19F9">
              <w:rPr>
                <w:rFonts w:ascii="Times New Roman" w:eastAsia="Times New Roman" w:hAnsi="Times New Roman" w:cs="Times New Roman"/>
                <w:spacing w:val="-4"/>
                <w:sz w:val="24"/>
                <w:szCs w:val="24"/>
                <w:lang w:eastAsia="ru-RU"/>
              </w:rPr>
              <w:lastRenderedPageBreak/>
              <w:t>закладів з навчанням польською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lastRenderedPageBreak/>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Польська мова для загальноосвітніх навчальних закладів з навчанням польською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Польська мова та література (інтегрований курс) для загальноосвітніх навчальних закладів з навчанням польською мовою</w:t>
            </w:r>
          </w:p>
        </w:tc>
        <w:tc>
          <w:tcPr>
            <w:tcW w:w="3824"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Рівень стандарту </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Польська мова як друга іноземна у спеціалізованих школах із поглибленим вивченням іноземних мов та у закладах загальної середньої освіти</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Російська література для загальноосвітніх навчальних закладів з навчанням російською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Російська мова для загальноосвітніх навчальних закладів з навчанням російською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Російська мова та література (інтегрований курс) для загальноосвітніх навчальних закладів з навчанням російською мовою </w:t>
            </w:r>
          </w:p>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Румунська література для загальноосвітніх навчальних закладів з навчанням румунською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Румунська мова для загальноосвітніх навчальних закладів з навчанням румунською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Румунська мова та література (інтегрований курс) для загальноосвітніх навчальних закладів з навчанням румунською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Угорська література для загальноосвітніх навчальних закладів з навчанням угорською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 xml:space="preserve">Угорська мова для загальноосвітніх навчальних закладів з навчанням угорською мовою </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Профільний рівень</w:t>
            </w:r>
          </w:p>
        </w:tc>
      </w:tr>
      <w:tr w:rsidR="007A3915" w:rsidRPr="00FB19F9" w:rsidTr="00420336">
        <w:trPr>
          <w:trHeight w:val="20"/>
        </w:trPr>
        <w:tc>
          <w:tcPr>
            <w:tcW w:w="675" w:type="dxa"/>
          </w:tcPr>
          <w:p w:rsidR="007A3915" w:rsidRPr="00FB19F9" w:rsidRDefault="007A3915" w:rsidP="00420336">
            <w:pPr>
              <w:widowControl w:val="0"/>
              <w:numPr>
                <w:ilvl w:val="0"/>
                <w:numId w:val="1"/>
              </w:numPr>
              <w:tabs>
                <w:tab w:val="left" w:pos="114"/>
              </w:tabs>
              <w:spacing w:after="0" w:line="226" w:lineRule="auto"/>
              <w:ind w:left="0"/>
              <w:jc w:val="center"/>
              <w:rPr>
                <w:rFonts w:ascii="Times New Roman" w:eastAsia="Times New Roman" w:hAnsi="Times New Roman" w:cs="Times New Roman"/>
                <w:spacing w:val="-4"/>
                <w:sz w:val="24"/>
                <w:szCs w:val="24"/>
              </w:rPr>
            </w:pPr>
          </w:p>
        </w:tc>
        <w:tc>
          <w:tcPr>
            <w:tcW w:w="5701" w:type="dxa"/>
          </w:tcPr>
          <w:p w:rsidR="007A3915" w:rsidRPr="00FB19F9" w:rsidRDefault="007A3915" w:rsidP="00420336">
            <w:pPr>
              <w:widowControl w:val="0"/>
              <w:spacing w:after="0" w:line="226" w:lineRule="auto"/>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Угорська мова та література (інтегрований курс) для загальноосвітніх навчальних закладів з навчанням угорською мовою</w:t>
            </w:r>
          </w:p>
        </w:tc>
        <w:tc>
          <w:tcPr>
            <w:tcW w:w="3824" w:type="dxa"/>
          </w:tcPr>
          <w:p w:rsidR="007A3915" w:rsidRPr="00FB19F9" w:rsidRDefault="007A3915" w:rsidP="00420336">
            <w:pPr>
              <w:widowControl w:val="0"/>
              <w:spacing w:after="0" w:line="226" w:lineRule="auto"/>
              <w:jc w:val="both"/>
              <w:rPr>
                <w:rFonts w:ascii="Times New Roman" w:eastAsia="Times New Roman" w:hAnsi="Times New Roman" w:cs="Times New Roman"/>
                <w:spacing w:val="-4"/>
                <w:sz w:val="24"/>
                <w:szCs w:val="24"/>
              </w:rPr>
            </w:pPr>
            <w:r w:rsidRPr="00FB19F9">
              <w:rPr>
                <w:rFonts w:ascii="Times New Roman" w:eastAsia="Times New Roman" w:hAnsi="Times New Roman" w:cs="Times New Roman"/>
                <w:spacing w:val="-4"/>
                <w:sz w:val="24"/>
                <w:szCs w:val="24"/>
                <w:lang w:eastAsia="ru-RU"/>
              </w:rPr>
              <w:t>Рівень стандарту</w:t>
            </w:r>
          </w:p>
        </w:tc>
      </w:tr>
    </w:tbl>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 на офіційних сайтах ІППО.</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bCs/>
          <w:spacing w:val="-4"/>
          <w:sz w:val="24"/>
          <w:szCs w:val="24"/>
          <w:lang w:eastAsia="uk-UA"/>
        </w:rPr>
      </w:pPr>
      <w:r w:rsidRPr="00FB19F9">
        <w:rPr>
          <w:rFonts w:ascii="Times New Roman" w:eastAsia="Times New Roman" w:hAnsi="Times New Roman" w:cs="Times New Roman"/>
          <w:bCs/>
          <w:spacing w:val="-4"/>
          <w:sz w:val="24"/>
          <w:szCs w:val="24"/>
          <w:lang w:eastAsia="uk-UA"/>
        </w:rPr>
        <w:tab/>
        <w:t>Для учнів 6 та 11 класів закладів загальної середньої освіти у 2019 році за кошти державного бюджету видано такі підручники з мов і літератур національних меншин:</w:t>
      </w:r>
    </w:p>
    <w:p w:rsidR="007A3915" w:rsidRPr="00FB19F9" w:rsidRDefault="007A3915" w:rsidP="007A3915">
      <w:pPr>
        <w:widowControl w:val="0"/>
        <w:tabs>
          <w:tab w:val="left" w:pos="0"/>
          <w:tab w:val="left" w:pos="851"/>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1. «Новогрецька мова» підручник для 6 класу закладів загальної середньої освіти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Добра О. М.);</w:t>
      </w:r>
    </w:p>
    <w:p w:rsidR="007A3915" w:rsidRPr="00FB19F9" w:rsidRDefault="007A3915" w:rsidP="007A3915">
      <w:pPr>
        <w:widowControl w:val="0"/>
        <w:tabs>
          <w:tab w:val="left" w:pos="0"/>
          <w:tab w:val="left" w:pos="851"/>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2. «Болгарська мова (рівень стандарту)» підручник для 11 класу закладів загальної середньої освіти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w:t>
      </w:r>
      <w:r w:rsidRPr="00FB19F9">
        <w:rPr>
          <w:rFonts w:ascii="Times New Roman" w:eastAsia="Times New Roman" w:hAnsi="Times New Roman" w:cs="Times New Roman"/>
          <w:color w:val="777777"/>
          <w:spacing w:val="-4"/>
          <w:sz w:val="24"/>
          <w:szCs w:val="24"/>
          <w:shd w:val="clear" w:color="auto" w:fill="FFFFFF"/>
          <w:lang w:eastAsia="ru-RU"/>
        </w:rPr>
        <w:t xml:space="preserve"> </w:t>
      </w:r>
      <w:proofErr w:type="spellStart"/>
      <w:r w:rsidRPr="00FB19F9">
        <w:rPr>
          <w:rFonts w:ascii="Times New Roman" w:eastAsia="Times New Roman" w:hAnsi="Times New Roman" w:cs="Times New Roman"/>
          <w:spacing w:val="-4"/>
          <w:sz w:val="24"/>
          <w:szCs w:val="24"/>
          <w:shd w:val="clear" w:color="auto" w:fill="FFFFFF"/>
          <w:lang w:eastAsia="ru-RU"/>
        </w:rPr>
        <w:t>Гайдаржи</w:t>
      </w:r>
      <w:proofErr w:type="spellEnd"/>
      <w:r w:rsidRPr="00FB19F9">
        <w:rPr>
          <w:rFonts w:ascii="Times New Roman" w:eastAsia="Times New Roman" w:hAnsi="Times New Roman" w:cs="Times New Roman"/>
          <w:spacing w:val="-4"/>
          <w:sz w:val="24"/>
          <w:szCs w:val="24"/>
          <w:shd w:val="clear" w:color="auto" w:fill="FFFFFF"/>
          <w:lang w:eastAsia="ru-RU"/>
        </w:rPr>
        <w:t xml:space="preserve"> І. С., </w:t>
      </w:r>
      <w:proofErr w:type="spellStart"/>
      <w:r w:rsidRPr="00FB19F9">
        <w:rPr>
          <w:rFonts w:ascii="Times New Roman" w:eastAsia="Times New Roman" w:hAnsi="Times New Roman" w:cs="Times New Roman"/>
          <w:spacing w:val="-4"/>
          <w:sz w:val="24"/>
          <w:szCs w:val="24"/>
          <w:shd w:val="clear" w:color="auto" w:fill="FFFFFF"/>
          <w:lang w:eastAsia="ru-RU"/>
        </w:rPr>
        <w:t>Проданова</w:t>
      </w:r>
      <w:proofErr w:type="spellEnd"/>
      <w:r w:rsidRPr="00FB19F9">
        <w:rPr>
          <w:rFonts w:ascii="Times New Roman" w:eastAsia="Times New Roman" w:hAnsi="Times New Roman" w:cs="Times New Roman"/>
          <w:spacing w:val="-4"/>
          <w:sz w:val="24"/>
          <w:szCs w:val="24"/>
          <w:shd w:val="clear" w:color="auto" w:fill="FFFFFF"/>
          <w:lang w:eastAsia="ru-RU"/>
        </w:rPr>
        <w:t xml:space="preserve"> О. І., </w:t>
      </w:r>
      <w:proofErr w:type="spellStart"/>
      <w:r w:rsidRPr="00FB19F9">
        <w:rPr>
          <w:rFonts w:ascii="Times New Roman" w:eastAsia="Times New Roman" w:hAnsi="Times New Roman" w:cs="Times New Roman"/>
          <w:spacing w:val="-4"/>
          <w:sz w:val="24"/>
          <w:szCs w:val="24"/>
          <w:shd w:val="clear" w:color="auto" w:fill="FFFFFF"/>
          <w:lang w:eastAsia="ru-RU"/>
        </w:rPr>
        <w:t>Мілков</w:t>
      </w:r>
      <w:proofErr w:type="spellEnd"/>
      <w:r w:rsidRPr="00FB19F9">
        <w:rPr>
          <w:rFonts w:ascii="Times New Roman" w:eastAsia="Times New Roman" w:hAnsi="Times New Roman" w:cs="Times New Roman"/>
          <w:spacing w:val="-4"/>
          <w:sz w:val="24"/>
          <w:szCs w:val="24"/>
          <w:shd w:val="clear" w:color="auto" w:fill="FFFFFF"/>
          <w:lang w:eastAsia="ru-RU"/>
        </w:rPr>
        <w:t xml:space="preserve"> А. М</w:t>
      </w:r>
      <w:r w:rsidRPr="00FB19F9">
        <w:rPr>
          <w:rFonts w:ascii="Times New Roman" w:eastAsia="Times New Roman" w:hAnsi="Times New Roman" w:cs="Times New Roman"/>
          <w:spacing w:val="-4"/>
          <w:sz w:val="24"/>
          <w:szCs w:val="24"/>
          <w:lang w:eastAsia="ru-RU"/>
        </w:rPr>
        <w:t>.);</w:t>
      </w:r>
    </w:p>
    <w:p w:rsidR="007A3915" w:rsidRPr="00FB19F9" w:rsidRDefault="007A3915" w:rsidP="007A3915">
      <w:pPr>
        <w:widowControl w:val="0"/>
        <w:tabs>
          <w:tab w:val="left" w:pos="0"/>
          <w:tab w:val="left" w:pos="851"/>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3. «Гагаузька мова (рівень стандарту)» підручник для 11 класу закладів загальної середньої освіти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shd w:val="clear" w:color="auto" w:fill="FFFFFF"/>
          <w:lang w:eastAsia="ru-RU"/>
        </w:rPr>
        <w:t>Курогло</w:t>
      </w:r>
      <w:proofErr w:type="spellEnd"/>
      <w:r w:rsidRPr="00FB19F9">
        <w:rPr>
          <w:rFonts w:ascii="Times New Roman" w:eastAsia="Times New Roman" w:hAnsi="Times New Roman" w:cs="Times New Roman"/>
          <w:spacing w:val="-4"/>
          <w:sz w:val="24"/>
          <w:szCs w:val="24"/>
          <w:shd w:val="clear" w:color="auto" w:fill="FFFFFF"/>
          <w:lang w:eastAsia="ru-RU"/>
        </w:rPr>
        <w:t xml:space="preserve"> Н. І., </w:t>
      </w:r>
      <w:proofErr w:type="spellStart"/>
      <w:r w:rsidRPr="00FB19F9">
        <w:rPr>
          <w:rFonts w:ascii="Times New Roman" w:eastAsia="Times New Roman" w:hAnsi="Times New Roman" w:cs="Times New Roman"/>
          <w:spacing w:val="-4"/>
          <w:sz w:val="24"/>
          <w:szCs w:val="24"/>
          <w:shd w:val="clear" w:color="auto" w:fill="FFFFFF"/>
          <w:lang w:eastAsia="ru-RU"/>
        </w:rPr>
        <w:t>Кіор</w:t>
      </w:r>
      <w:proofErr w:type="spellEnd"/>
      <w:r w:rsidRPr="00FB19F9">
        <w:rPr>
          <w:rFonts w:ascii="Times New Roman" w:eastAsia="Times New Roman" w:hAnsi="Times New Roman" w:cs="Times New Roman"/>
          <w:spacing w:val="-4"/>
          <w:sz w:val="24"/>
          <w:szCs w:val="24"/>
          <w:shd w:val="clear" w:color="auto" w:fill="FFFFFF"/>
          <w:lang w:eastAsia="ru-RU"/>
        </w:rPr>
        <w:t xml:space="preserve"> І. Ф., </w:t>
      </w:r>
      <w:proofErr w:type="spellStart"/>
      <w:r w:rsidRPr="00FB19F9">
        <w:rPr>
          <w:rFonts w:ascii="Times New Roman" w:eastAsia="Times New Roman" w:hAnsi="Times New Roman" w:cs="Times New Roman"/>
          <w:spacing w:val="-4"/>
          <w:sz w:val="24"/>
          <w:szCs w:val="24"/>
          <w:shd w:val="clear" w:color="auto" w:fill="FFFFFF"/>
          <w:lang w:eastAsia="ru-RU"/>
        </w:rPr>
        <w:t>Мілков</w:t>
      </w:r>
      <w:proofErr w:type="spellEnd"/>
      <w:r w:rsidRPr="00FB19F9">
        <w:rPr>
          <w:rFonts w:ascii="Times New Roman" w:eastAsia="Times New Roman" w:hAnsi="Times New Roman" w:cs="Times New Roman"/>
          <w:spacing w:val="-4"/>
          <w:sz w:val="24"/>
          <w:szCs w:val="24"/>
          <w:shd w:val="clear" w:color="auto" w:fill="FFFFFF"/>
          <w:lang w:eastAsia="ru-RU"/>
        </w:rPr>
        <w:t xml:space="preserve"> А. М., </w:t>
      </w:r>
      <w:proofErr w:type="spellStart"/>
      <w:r w:rsidRPr="00FB19F9">
        <w:rPr>
          <w:rFonts w:ascii="Times New Roman" w:eastAsia="Times New Roman" w:hAnsi="Times New Roman" w:cs="Times New Roman"/>
          <w:spacing w:val="-4"/>
          <w:sz w:val="24"/>
          <w:szCs w:val="24"/>
          <w:shd w:val="clear" w:color="auto" w:fill="FFFFFF"/>
          <w:lang w:eastAsia="ru-RU"/>
        </w:rPr>
        <w:t>Драганов</w:t>
      </w:r>
      <w:proofErr w:type="spellEnd"/>
      <w:r w:rsidRPr="00FB19F9">
        <w:rPr>
          <w:rFonts w:ascii="Times New Roman" w:eastAsia="Times New Roman" w:hAnsi="Times New Roman" w:cs="Times New Roman"/>
          <w:spacing w:val="-4"/>
          <w:sz w:val="24"/>
          <w:szCs w:val="24"/>
          <w:shd w:val="clear" w:color="auto" w:fill="FFFFFF"/>
          <w:lang w:eastAsia="ru-RU"/>
        </w:rPr>
        <w:t xml:space="preserve"> П. М.</w:t>
      </w:r>
      <w:r w:rsidRPr="00FB19F9">
        <w:rPr>
          <w:rFonts w:ascii="Times New Roman" w:eastAsia="Times New Roman" w:hAnsi="Times New Roman" w:cs="Times New Roman"/>
          <w:spacing w:val="-4"/>
          <w:sz w:val="24"/>
          <w:szCs w:val="24"/>
          <w:lang w:eastAsia="ru-RU"/>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«Новогрецька мова (рівень стандарту)» підручник для 11 класу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w:t>
      </w:r>
      <w:r w:rsidRPr="00FB19F9">
        <w:rPr>
          <w:rFonts w:ascii="Times New Roman" w:eastAsia="Calibri" w:hAnsi="Times New Roman" w:cs="Times New Roman"/>
          <w:color w:val="777777"/>
          <w:spacing w:val="-4"/>
          <w:sz w:val="24"/>
          <w:szCs w:val="24"/>
          <w:shd w:val="clear" w:color="auto" w:fill="FFFFFF"/>
        </w:rPr>
        <w:t xml:space="preserve"> </w:t>
      </w:r>
      <w:r w:rsidRPr="00FB19F9">
        <w:rPr>
          <w:rFonts w:ascii="Calibri" w:eastAsia="Calibri" w:hAnsi="Calibri" w:cs="Calibri"/>
          <w:spacing w:val="-4"/>
          <w:sz w:val="24"/>
          <w:szCs w:val="24"/>
          <w:shd w:val="clear" w:color="auto" w:fill="FFFFFF"/>
        </w:rPr>
        <w:t xml:space="preserve">Добра О. М., </w:t>
      </w:r>
      <w:proofErr w:type="spellStart"/>
      <w:r w:rsidRPr="00FB19F9">
        <w:rPr>
          <w:rFonts w:ascii="Calibri" w:eastAsia="Calibri" w:hAnsi="Calibri" w:cs="Calibri"/>
          <w:spacing w:val="-4"/>
          <w:sz w:val="24"/>
          <w:szCs w:val="24"/>
          <w:shd w:val="clear" w:color="auto" w:fill="FFFFFF"/>
        </w:rPr>
        <w:t>Воєвутко</w:t>
      </w:r>
      <w:proofErr w:type="spellEnd"/>
      <w:r w:rsidRPr="00FB19F9">
        <w:rPr>
          <w:rFonts w:ascii="Calibri" w:eastAsia="Calibri" w:hAnsi="Calibri" w:cs="Calibri"/>
          <w:spacing w:val="-4"/>
          <w:sz w:val="24"/>
          <w:szCs w:val="24"/>
          <w:shd w:val="clear" w:color="auto" w:fill="FFFFFF"/>
        </w:rPr>
        <w:t xml:space="preserve"> Н. Ю., </w:t>
      </w:r>
      <w:proofErr w:type="spellStart"/>
      <w:r w:rsidRPr="00FB19F9">
        <w:rPr>
          <w:rFonts w:ascii="Calibri" w:eastAsia="Calibri" w:hAnsi="Calibri" w:cs="Calibri"/>
          <w:spacing w:val="-4"/>
          <w:sz w:val="24"/>
          <w:szCs w:val="24"/>
          <w:shd w:val="clear" w:color="auto" w:fill="FFFFFF"/>
        </w:rPr>
        <w:t>Сніговська</w:t>
      </w:r>
      <w:proofErr w:type="spellEnd"/>
      <w:r w:rsidRPr="00FB19F9">
        <w:rPr>
          <w:rFonts w:ascii="Calibri" w:eastAsia="Calibri" w:hAnsi="Calibri" w:cs="Calibri"/>
          <w:spacing w:val="-4"/>
          <w:sz w:val="24"/>
          <w:szCs w:val="24"/>
          <w:shd w:val="clear" w:color="auto" w:fill="FFFFFF"/>
        </w:rPr>
        <w:t xml:space="preserve"> О. В., Малахіті А. В.</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«Польська мова (11-й рік навчання, рівень стандарту)» підручник для 11 класу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w:t>
      </w:r>
      <w:r w:rsidRPr="00FB19F9">
        <w:rPr>
          <w:rFonts w:ascii="Times New Roman" w:eastAsia="Calibri" w:hAnsi="Times New Roman" w:cs="Times New Roman"/>
          <w:color w:val="777777"/>
          <w:spacing w:val="-4"/>
          <w:sz w:val="24"/>
          <w:szCs w:val="24"/>
          <w:shd w:val="clear" w:color="auto" w:fill="FFFFFF"/>
        </w:rPr>
        <w:t xml:space="preserve"> </w:t>
      </w:r>
      <w:proofErr w:type="spellStart"/>
      <w:r w:rsidRPr="00FB19F9">
        <w:rPr>
          <w:rFonts w:ascii="Times New Roman" w:eastAsia="Calibri" w:hAnsi="Times New Roman" w:cs="Times New Roman"/>
          <w:spacing w:val="-4"/>
          <w:sz w:val="24"/>
          <w:szCs w:val="24"/>
          <w:shd w:val="clear" w:color="auto" w:fill="FFFFFF"/>
        </w:rPr>
        <w:t>Войцева</w:t>
      </w:r>
      <w:proofErr w:type="spellEnd"/>
      <w:r w:rsidRPr="00FB19F9">
        <w:rPr>
          <w:rFonts w:ascii="Times New Roman" w:eastAsia="Calibri" w:hAnsi="Times New Roman" w:cs="Times New Roman"/>
          <w:spacing w:val="-4"/>
          <w:sz w:val="24"/>
          <w:szCs w:val="24"/>
          <w:shd w:val="clear" w:color="auto" w:fill="FFFFFF"/>
        </w:rPr>
        <w:t xml:space="preserve"> О. А., Бучацька Т. Г.</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«Російська мова (11-й рік навчання, рівень стандарту)» підручник для 11 класу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w:t>
      </w:r>
      <w:r w:rsidRPr="00FB19F9">
        <w:rPr>
          <w:rFonts w:ascii="Times New Roman" w:eastAsia="Calibri" w:hAnsi="Times New Roman" w:cs="Times New Roman"/>
          <w:color w:val="777777"/>
          <w:spacing w:val="-4"/>
          <w:sz w:val="24"/>
          <w:szCs w:val="24"/>
          <w:shd w:val="clear" w:color="auto" w:fill="FFFFFF"/>
        </w:rPr>
        <w:t xml:space="preserve"> </w:t>
      </w:r>
      <w:r w:rsidRPr="00FB19F9">
        <w:rPr>
          <w:rFonts w:ascii="Times New Roman" w:eastAsia="Calibri" w:hAnsi="Times New Roman" w:cs="Times New Roman"/>
          <w:spacing w:val="-4"/>
          <w:sz w:val="24"/>
          <w:szCs w:val="24"/>
          <w:shd w:val="clear" w:color="auto" w:fill="FFFFFF"/>
        </w:rPr>
        <w:t>Баландіна Н. Ф.,</w:t>
      </w:r>
      <w:r w:rsidRPr="00FB19F9">
        <w:rPr>
          <w:rFonts w:ascii="Calibri" w:eastAsia="Calibri" w:hAnsi="Calibri" w:cs="Calibri"/>
          <w:spacing w:val="-4"/>
          <w:sz w:val="24"/>
          <w:szCs w:val="24"/>
          <w:shd w:val="clear" w:color="auto" w:fill="FFFFFF"/>
        </w:rPr>
        <w:t xml:space="preserve">                  </w:t>
      </w:r>
      <w:r w:rsidRPr="00FB19F9">
        <w:rPr>
          <w:rFonts w:ascii="Times New Roman" w:eastAsia="Calibri" w:hAnsi="Times New Roman" w:cs="Times New Roman"/>
          <w:spacing w:val="-4"/>
          <w:sz w:val="24"/>
          <w:szCs w:val="24"/>
          <w:shd w:val="clear" w:color="auto" w:fill="FFFFFF"/>
        </w:rPr>
        <w:t>Дегтярьова К. В.</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«Російська мова (7-й рік навчання, рівень стандарту)» підручник для 11 класу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r w:rsidRPr="00FB19F9">
        <w:rPr>
          <w:rFonts w:ascii="Times New Roman" w:eastAsia="Calibri" w:hAnsi="Times New Roman" w:cs="Times New Roman"/>
          <w:spacing w:val="-4"/>
          <w:sz w:val="24"/>
          <w:szCs w:val="24"/>
          <w:shd w:val="clear" w:color="auto" w:fill="FFFFFF"/>
        </w:rPr>
        <w:t>Баландіна Н. Ф., Зима О. В.</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«Кримськотатарська мова (рівень стандарту)» підручник для 11 класу з навчанням кримськотатарською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Calibri" w:eastAsia="Calibri" w:hAnsi="Calibri" w:cs="Calibri"/>
          <w:spacing w:val="-4"/>
          <w:sz w:val="24"/>
          <w:szCs w:val="24"/>
          <w:shd w:val="clear" w:color="auto" w:fill="FFFFFF"/>
        </w:rPr>
        <w:t>Меметов</w:t>
      </w:r>
      <w:proofErr w:type="spellEnd"/>
      <w:r w:rsidRPr="00FB19F9">
        <w:rPr>
          <w:rFonts w:ascii="Calibri" w:eastAsia="Calibri" w:hAnsi="Calibri" w:cs="Calibri"/>
          <w:spacing w:val="-4"/>
          <w:sz w:val="24"/>
          <w:szCs w:val="24"/>
          <w:shd w:val="clear" w:color="auto" w:fill="FFFFFF"/>
        </w:rPr>
        <w:t xml:space="preserve"> А. М., Алієва Л. А.</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«Кримськотатарська література (рівень стандарту)» підручник для 11 класу з навчанням кримськотатарською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shd w:val="clear" w:color="auto" w:fill="FFFFFF"/>
        </w:rPr>
        <w:t>Веліулаєва</w:t>
      </w:r>
      <w:proofErr w:type="spellEnd"/>
      <w:r w:rsidRPr="00FB19F9">
        <w:rPr>
          <w:rFonts w:ascii="Times New Roman" w:eastAsia="Calibri" w:hAnsi="Times New Roman" w:cs="Times New Roman"/>
          <w:spacing w:val="-4"/>
          <w:sz w:val="24"/>
          <w:szCs w:val="24"/>
          <w:shd w:val="clear" w:color="auto" w:fill="FFFFFF"/>
        </w:rPr>
        <w:t xml:space="preserve"> А. В.</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«Польська мова (профільний рівень)» підручник для 11 класу з навчанням польською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r w:rsidRPr="00FB19F9">
        <w:rPr>
          <w:rFonts w:ascii="Times New Roman" w:eastAsia="Calibri" w:hAnsi="Times New Roman" w:cs="Times New Roman"/>
          <w:spacing w:val="-4"/>
          <w:sz w:val="24"/>
          <w:szCs w:val="24"/>
          <w:shd w:val="clear" w:color="auto" w:fill="FFFFFF"/>
        </w:rPr>
        <w:t>Іванова М. С., Іванова-</w:t>
      </w:r>
      <w:proofErr w:type="spellStart"/>
      <w:r w:rsidRPr="00FB19F9">
        <w:rPr>
          <w:rFonts w:ascii="Times New Roman" w:eastAsia="Calibri" w:hAnsi="Times New Roman" w:cs="Times New Roman"/>
          <w:spacing w:val="-4"/>
          <w:sz w:val="24"/>
          <w:szCs w:val="24"/>
          <w:shd w:val="clear" w:color="auto" w:fill="FFFFFF"/>
        </w:rPr>
        <w:t>Хмєль</w:t>
      </w:r>
      <w:proofErr w:type="spellEnd"/>
      <w:r w:rsidRPr="00FB19F9">
        <w:rPr>
          <w:rFonts w:ascii="Times New Roman" w:eastAsia="Calibri" w:hAnsi="Times New Roman" w:cs="Times New Roman"/>
          <w:spacing w:val="-4"/>
          <w:sz w:val="24"/>
          <w:szCs w:val="24"/>
          <w:shd w:val="clear" w:color="auto" w:fill="FFFFFF"/>
        </w:rPr>
        <w:t xml:space="preserve"> Т. М.</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lastRenderedPageBreak/>
        <w:t>«Польська література (профільний рівень)» підручник для 11 класу з навчанням польською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Calibri" w:eastAsia="Calibri" w:hAnsi="Calibri" w:cs="Calibri"/>
          <w:spacing w:val="-4"/>
          <w:sz w:val="24"/>
          <w:szCs w:val="24"/>
          <w:shd w:val="clear" w:color="auto" w:fill="FFFFFF"/>
        </w:rPr>
        <w:t>Лебедь</w:t>
      </w:r>
      <w:proofErr w:type="spellEnd"/>
      <w:r w:rsidRPr="00FB19F9">
        <w:rPr>
          <w:rFonts w:ascii="Calibri" w:eastAsia="Calibri" w:hAnsi="Calibri" w:cs="Calibri"/>
          <w:spacing w:val="-4"/>
          <w:sz w:val="24"/>
          <w:szCs w:val="24"/>
          <w:shd w:val="clear" w:color="auto" w:fill="FFFFFF"/>
        </w:rPr>
        <w:t xml:space="preserve"> Р. К.</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«Польська мова (7-й рік навчання, рівень стандарту)» підручник для 11 класу спеціалізованих шкіл із поглибленим вивченням іноземних мов та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w:t>
      </w:r>
      <w:r w:rsidRPr="00FB19F9">
        <w:rPr>
          <w:rFonts w:ascii="Times New Roman" w:eastAsia="Calibri" w:hAnsi="Times New Roman" w:cs="Times New Roman"/>
          <w:color w:val="777777"/>
          <w:spacing w:val="-4"/>
          <w:sz w:val="24"/>
          <w:szCs w:val="24"/>
          <w:shd w:val="clear" w:color="auto" w:fill="FFFFFF"/>
        </w:rPr>
        <w:t xml:space="preserve"> </w:t>
      </w:r>
      <w:proofErr w:type="spellStart"/>
      <w:r w:rsidRPr="00FB19F9">
        <w:rPr>
          <w:rFonts w:ascii="Times New Roman" w:eastAsia="Calibri" w:hAnsi="Times New Roman" w:cs="Times New Roman"/>
          <w:spacing w:val="-4"/>
          <w:sz w:val="24"/>
          <w:szCs w:val="24"/>
          <w:shd w:val="clear" w:color="auto" w:fill="FFFFFF"/>
        </w:rPr>
        <w:t>Гузюк-Свіца</w:t>
      </w:r>
      <w:proofErr w:type="spellEnd"/>
      <w:r w:rsidRPr="00FB19F9">
        <w:rPr>
          <w:rFonts w:ascii="Times New Roman" w:eastAsia="Calibri" w:hAnsi="Times New Roman" w:cs="Times New Roman"/>
          <w:spacing w:val="-4"/>
          <w:sz w:val="24"/>
          <w:szCs w:val="24"/>
          <w:shd w:val="clear" w:color="auto" w:fill="FFFFFF"/>
        </w:rPr>
        <w:t xml:space="preserve"> Б., </w:t>
      </w:r>
      <w:proofErr w:type="spellStart"/>
      <w:r w:rsidRPr="00FB19F9">
        <w:rPr>
          <w:rFonts w:ascii="Times New Roman" w:eastAsia="Calibri" w:hAnsi="Times New Roman" w:cs="Times New Roman"/>
          <w:spacing w:val="-4"/>
          <w:sz w:val="24"/>
          <w:szCs w:val="24"/>
          <w:shd w:val="clear" w:color="auto" w:fill="FFFFFF"/>
        </w:rPr>
        <w:t>Пшеходзка</w:t>
      </w:r>
      <w:proofErr w:type="spellEnd"/>
      <w:r w:rsidRPr="00FB19F9">
        <w:rPr>
          <w:rFonts w:ascii="Times New Roman" w:eastAsia="Calibri" w:hAnsi="Times New Roman" w:cs="Times New Roman"/>
          <w:spacing w:val="-4"/>
          <w:sz w:val="24"/>
          <w:szCs w:val="24"/>
          <w:shd w:val="clear" w:color="auto" w:fill="FFFFFF"/>
        </w:rPr>
        <w:t xml:space="preserve"> Г.,            </w:t>
      </w:r>
      <w:proofErr w:type="spellStart"/>
      <w:r w:rsidRPr="00FB19F9">
        <w:rPr>
          <w:rFonts w:ascii="Times New Roman" w:eastAsia="Calibri" w:hAnsi="Times New Roman" w:cs="Times New Roman"/>
          <w:spacing w:val="-4"/>
          <w:sz w:val="24"/>
          <w:szCs w:val="24"/>
          <w:shd w:val="clear" w:color="auto" w:fill="FFFFFF"/>
        </w:rPr>
        <w:t>Рочняк</w:t>
      </w:r>
      <w:proofErr w:type="spellEnd"/>
      <w:r w:rsidRPr="00FB19F9">
        <w:rPr>
          <w:rFonts w:ascii="Times New Roman" w:eastAsia="Calibri" w:hAnsi="Times New Roman" w:cs="Times New Roman"/>
          <w:spacing w:val="-4"/>
          <w:sz w:val="24"/>
          <w:szCs w:val="24"/>
          <w:shd w:val="clear" w:color="auto" w:fill="FFFFFF"/>
        </w:rPr>
        <w:t xml:space="preserve"> А., Зелінська М.</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«Російська мова та література (інтегрований курс, рівень стандарту)» підручник для 11 класу з навчанням російською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shd w:val="clear" w:color="auto" w:fill="FFFFFF"/>
        </w:rPr>
        <w:t>Давидюк</w:t>
      </w:r>
      <w:proofErr w:type="spellEnd"/>
      <w:r w:rsidRPr="00FB19F9">
        <w:rPr>
          <w:rFonts w:ascii="Times New Roman" w:eastAsia="Calibri" w:hAnsi="Times New Roman" w:cs="Times New Roman"/>
          <w:spacing w:val="-4"/>
          <w:sz w:val="24"/>
          <w:szCs w:val="24"/>
          <w:shd w:val="clear" w:color="auto" w:fill="FFFFFF"/>
        </w:rPr>
        <w:t xml:space="preserve"> Л. В., Дядечко Л. П., </w:t>
      </w:r>
      <w:proofErr w:type="spellStart"/>
      <w:r w:rsidRPr="00FB19F9">
        <w:rPr>
          <w:rFonts w:ascii="Times New Roman" w:eastAsia="Calibri" w:hAnsi="Times New Roman" w:cs="Times New Roman"/>
          <w:spacing w:val="-4"/>
          <w:sz w:val="24"/>
          <w:szCs w:val="24"/>
          <w:shd w:val="clear" w:color="auto" w:fill="FFFFFF"/>
        </w:rPr>
        <w:t>Халабаджах</w:t>
      </w:r>
      <w:proofErr w:type="spellEnd"/>
      <w:r w:rsidRPr="00FB19F9">
        <w:rPr>
          <w:rFonts w:ascii="Times New Roman" w:eastAsia="Calibri" w:hAnsi="Times New Roman" w:cs="Times New Roman"/>
          <w:spacing w:val="-4"/>
          <w:sz w:val="24"/>
          <w:szCs w:val="24"/>
          <w:shd w:val="clear" w:color="auto" w:fill="FFFFFF"/>
        </w:rPr>
        <w:t xml:space="preserve"> І. М.</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«Румунська мова та література (інтегрований курс, рівень стандарту)» підручник для 11 класу з навчанням румунською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w:t>
      </w:r>
      <w:r w:rsidRPr="00FB19F9">
        <w:rPr>
          <w:rFonts w:ascii="Times New Roman" w:eastAsia="Calibri" w:hAnsi="Times New Roman" w:cs="Times New Roman"/>
          <w:color w:val="777777"/>
          <w:spacing w:val="-4"/>
          <w:sz w:val="24"/>
          <w:szCs w:val="24"/>
          <w:shd w:val="clear" w:color="auto" w:fill="FFFFFF"/>
        </w:rPr>
        <w:t xml:space="preserve"> </w:t>
      </w:r>
      <w:proofErr w:type="spellStart"/>
      <w:r w:rsidRPr="00FB19F9">
        <w:rPr>
          <w:rFonts w:ascii="Times New Roman" w:eastAsia="Calibri" w:hAnsi="Times New Roman" w:cs="Times New Roman"/>
          <w:spacing w:val="-4"/>
          <w:sz w:val="24"/>
          <w:szCs w:val="24"/>
          <w:shd w:val="clear" w:color="auto" w:fill="FFFFFF"/>
        </w:rPr>
        <w:t>Говорнян</w:t>
      </w:r>
      <w:proofErr w:type="spellEnd"/>
      <w:r w:rsidRPr="00FB19F9">
        <w:rPr>
          <w:rFonts w:ascii="Times New Roman" w:eastAsia="Calibri" w:hAnsi="Times New Roman" w:cs="Times New Roman"/>
          <w:spacing w:val="-4"/>
          <w:sz w:val="24"/>
          <w:szCs w:val="24"/>
          <w:shd w:val="clear" w:color="auto" w:fill="FFFFFF"/>
        </w:rPr>
        <w:t xml:space="preserve"> Л. С., Васильчук М. Д., </w:t>
      </w:r>
      <w:proofErr w:type="spellStart"/>
      <w:r w:rsidRPr="00FB19F9">
        <w:rPr>
          <w:rFonts w:ascii="Times New Roman" w:eastAsia="Calibri" w:hAnsi="Times New Roman" w:cs="Times New Roman"/>
          <w:spacing w:val="-4"/>
          <w:sz w:val="24"/>
          <w:szCs w:val="24"/>
          <w:shd w:val="clear" w:color="auto" w:fill="FFFFFF"/>
        </w:rPr>
        <w:t>Сандулова</w:t>
      </w:r>
      <w:proofErr w:type="spellEnd"/>
      <w:r w:rsidRPr="00FB19F9">
        <w:rPr>
          <w:rFonts w:ascii="Times New Roman" w:eastAsia="Calibri" w:hAnsi="Times New Roman" w:cs="Times New Roman"/>
          <w:spacing w:val="-4"/>
          <w:sz w:val="24"/>
          <w:szCs w:val="24"/>
          <w:shd w:val="clear" w:color="auto" w:fill="FFFFFF"/>
        </w:rPr>
        <w:t xml:space="preserve"> Л. Ф.</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«Румунська мова (профільний рівень)» підручник для 11 класу з навчанням румунською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shd w:val="clear" w:color="auto" w:fill="FFFFFF"/>
        </w:rPr>
        <w:t>Говорнян</w:t>
      </w:r>
      <w:proofErr w:type="spellEnd"/>
      <w:r w:rsidRPr="00FB19F9">
        <w:rPr>
          <w:rFonts w:ascii="Times New Roman" w:eastAsia="Calibri" w:hAnsi="Times New Roman" w:cs="Times New Roman"/>
          <w:spacing w:val="-4"/>
          <w:sz w:val="24"/>
          <w:szCs w:val="24"/>
          <w:shd w:val="clear" w:color="auto" w:fill="FFFFFF"/>
        </w:rPr>
        <w:t xml:space="preserve"> Л. С., </w:t>
      </w:r>
      <w:proofErr w:type="spellStart"/>
      <w:r w:rsidRPr="00FB19F9">
        <w:rPr>
          <w:rFonts w:ascii="Times New Roman" w:eastAsia="Calibri" w:hAnsi="Times New Roman" w:cs="Times New Roman"/>
          <w:spacing w:val="-4"/>
          <w:sz w:val="24"/>
          <w:szCs w:val="24"/>
          <w:shd w:val="clear" w:color="auto" w:fill="FFFFFF"/>
        </w:rPr>
        <w:t>Єнекюк</w:t>
      </w:r>
      <w:proofErr w:type="spellEnd"/>
      <w:r w:rsidRPr="00FB19F9">
        <w:rPr>
          <w:rFonts w:ascii="Times New Roman" w:eastAsia="Calibri" w:hAnsi="Times New Roman" w:cs="Times New Roman"/>
          <w:spacing w:val="-4"/>
          <w:sz w:val="24"/>
          <w:szCs w:val="24"/>
          <w:shd w:val="clear" w:color="auto" w:fill="FFFFFF"/>
        </w:rPr>
        <w:t xml:space="preserve"> І. С., Ротару Л. М.</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«Румунська література (профільний рівень)» підручник для 11 класу з навчанням румунською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shd w:val="clear" w:color="auto" w:fill="FFFFFF"/>
        </w:rPr>
        <w:t>Говорнян</w:t>
      </w:r>
      <w:proofErr w:type="spellEnd"/>
      <w:r w:rsidRPr="00FB19F9">
        <w:rPr>
          <w:rFonts w:ascii="Times New Roman" w:eastAsia="Calibri" w:hAnsi="Times New Roman" w:cs="Times New Roman"/>
          <w:spacing w:val="-4"/>
          <w:sz w:val="24"/>
          <w:szCs w:val="24"/>
          <w:shd w:val="clear" w:color="auto" w:fill="FFFFFF"/>
        </w:rPr>
        <w:t xml:space="preserve"> Л. С., Колесникова Д. О.</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«Угорська мова (профільний рівень)» підручник для 11 класу з навчанням угорською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r w:rsidRPr="00FB19F9">
        <w:rPr>
          <w:rFonts w:ascii="Times New Roman" w:eastAsia="Calibri" w:hAnsi="Times New Roman" w:cs="Times New Roman"/>
          <w:spacing w:val="-4"/>
          <w:sz w:val="24"/>
          <w:szCs w:val="24"/>
          <w:shd w:val="clear" w:color="auto" w:fill="FFFFFF"/>
        </w:rPr>
        <w:t xml:space="preserve">Браун Є. Л., </w:t>
      </w:r>
      <w:proofErr w:type="spellStart"/>
      <w:r w:rsidRPr="00FB19F9">
        <w:rPr>
          <w:rFonts w:ascii="Times New Roman" w:eastAsia="Calibri" w:hAnsi="Times New Roman" w:cs="Times New Roman"/>
          <w:spacing w:val="-4"/>
          <w:sz w:val="24"/>
          <w:szCs w:val="24"/>
          <w:shd w:val="clear" w:color="auto" w:fill="FFFFFF"/>
        </w:rPr>
        <w:t>Зикань</w:t>
      </w:r>
      <w:proofErr w:type="spellEnd"/>
      <w:r w:rsidRPr="00FB19F9">
        <w:rPr>
          <w:rFonts w:ascii="Times New Roman" w:eastAsia="Calibri" w:hAnsi="Times New Roman" w:cs="Times New Roman"/>
          <w:spacing w:val="-4"/>
          <w:sz w:val="24"/>
          <w:szCs w:val="24"/>
          <w:shd w:val="clear" w:color="auto" w:fill="FFFFFF"/>
        </w:rPr>
        <w:t xml:space="preserve"> Х. І.. Ковач-</w:t>
      </w:r>
      <w:proofErr w:type="spellStart"/>
      <w:r w:rsidRPr="00FB19F9">
        <w:rPr>
          <w:rFonts w:ascii="Times New Roman" w:eastAsia="Calibri" w:hAnsi="Times New Roman" w:cs="Times New Roman"/>
          <w:spacing w:val="-4"/>
          <w:sz w:val="24"/>
          <w:szCs w:val="24"/>
          <w:shd w:val="clear" w:color="auto" w:fill="FFFFFF"/>
        </w:rPr>
        <w:t>Буркуш</w:t>
      </w:r>
      <w:proofErr w:type="spellEnd"/>
      <w:r w:rsidRPr="00FB19F9">
        <w:rPr>
          <w:rFonts w:ascii="Times New Roman" w:eastAsia="Calibri" w:hAnsi="Times New Roman" w:cs="Times New Roman"/>
          <w:spacing w:val="-4"/>
          <w:sz w:val="24"/>
          <w:szCs w:val="24"/>
          <w:shd w:val="clear" w:color="auto" w:fill="FFFFFF"/>
        </w:rPr>
        <w:t xml:space="preserve"> Є. С.</w:t>
      </w:r>
      <w:r w:rsidRPr="00FB19F9">
        <w:rPr>
          <w:rFonts w:ascii="Times New Roman" w:eastAsia="Calibri" w:hAnsi="Times New Roman" w:cs="Times New Roman"/>
          <w:spacing w:val="-4"/>
          <w:sz w:val="24"/>
          <w:szCs w:val="24"/>
        </w:rPr>
        <w:t>);</w:t>
      </w:r>
    </w:p>
    <w:p w:rsidR="007A3915" w:rsidRPr="00FB19F9" w:rsidRDefault="007A3915" w:rsidP="007A3915">
      <w:pPr>
        <w:widowControl w:val="0"/>
        <w:numPr>
          <w:ilvl w:val="0"/>
          <w:numId w:val="3"/>
        </w:numPr>
        <w:tabs>
          <w:tab w:val="left" w:pos="0"/>
          <w:tab w:val="left" w:pos="851"/>
          <w:tab w:val="left" w:pos="993"/>
        </w:tabs>
        <w:spacing w:after="0" w:line="226" w:lineRule="auto"/>
        <w:ind w:left="0" w:firstLine="567"/>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«Угорська література (профільний рівень)» підручник для 11 класу з навчанням угорською мовою закладів загальної середньої освіти (</w:t>
      </w:r>
      <w:proofErr w:type="spellStart"/>
      <w:r w:rsidRPr="00FB19F9">
        <w:rPr>
          <w:rFonts w:ascii="Times New Roman" w:eastAsia="Calibri" w:hAnsi="Times New Roman" w:cs="Times New Roman"/>
          <w:spacing w:val="-4"/>
          <w:sz w:val="24"/>
          <w:szCs w:val="24"/>
        </w:rPr>
        <w:t>авт</w:t>
      </w:r>
      <w:proofErr w:type="spellEnd"/>
      <w:r w:rsidRPr="00FB19F9">
        <w:rPr>
          <w:rFonts w:ascii="Times New Roman" w:eastAsia="Calibri" w:hAnsi="Times New Roman" w:cs="Times New Roman"/>
          <w:spacing w:val="-4"/>
          <w:sz w:val="24"/>
          <w:szCs w:val="24"/>
        </w:rPr>
        <w:t xml:space="preserve">. </w:t>
      </w:r>
      <w:proofErr w:type="spellStart"/>
      <w:r w:rsidRPr="00FB19F9">
        <w:rPr>
          <w:rFonts w:ascii="Times New Roman" w:eastAsia="Calibri" w:hAnsi="Times New Roman" w:cs="Times New Roman"/>
          <w:spacing w:val="-4"/>
          <w:sz w:val="24"/>
          <w:szCs w:val="24"/>
          <w:shd w:val="clear" w:color="auto" w:fill="FFFFFF"/>
        </w:rPr>
        <w:t>Дебрецені</w:t>
      </w:r>
      <w:proofErr w:type="spellEnd"/>
      <w:r w:rsidRPr="00FB19F9">
        <w:rPr>
          <w:rFonts w:ascii="Times New Roman" w:eastAsia="Calibri" w:hAnsi="Times New Roman" w:cs="Times New Roman"/>
          <w:spacing w:val="-4"/>
          <w:sz w:val="24"/>
          <w:szCs w:val="24"/>
          <w:shd w:val="clear" w:color="auto" w:fill="FFFFFF"/>
        </w:rPr>
        <w:t xml:space="preserve"> О. О.</w:t>
      </w:r>
      <w:r w:rsidRPr="00FB19F9">
        <w:rPr>
          <w:rFonts w:ascii="Times New Roman" w:eastAsia="Calibri" w:hAnsi="Times New Roman" w:cs="Times New Roman"/>
          <w:spacing w:val="-4"/>
          <w:sz w:val="24"/>
          <w:szCs w:val="24"/>
        </w:rPr>
        <w:t>).</w:t>
      </w:r>
    </w:p>
    <w:p w:rsidR="007A3915" w:rsidRPr="00FB19F9" w:rsidRDefault="007A3915" w:rsidP="007A3915">
      <w:pPr>
        <w:widowControl w:val="0"/>
        <w:spacing w:after="0" w:line="226" w:lineRule="auto"/>
        <w:ind w:firstLine="851"/>
        <w:contextualSpacing/>
        <w:jc w:val="both"/>
        <w:rPr>
          <w:rFonts w:ascii="Times New Roman" w:eastAsia="Calibri" w:hAnsi="Times New Roman" w:cs="Times New Roman"/>
          <w:spacing w:val="-4"/>
          <w:sz w:val="24"/>
          <w:szCs w:val="24"/>
        </w:rPr>
      </w:pPr>
      <w:r w:rsidRPr="00FB19F9">
        <w:rPr>
          <w:rFonts w:ascii="Times New Roman" w:eastAsia="Calibri" w:hAnsi="Times New Roman" w:cs="Times New Roman"/>
          <w:spacing w:val="-4"/>
          <w:sz w:val="24"/>
          <w:szCs w:val="24"/>
        </w:rPr>
        <w:t>У випадку відсутності підручників з того чи іншого предмета можна використовувати підручники попередніх років, навчальні посібники, додаткові дидактичні матеріали, інформаційні матеріали, які необхідно розміщувати на офіційних сайтах ІППО.</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Повний перелік навчальної літератури для закладів загальної середньої освіти з навчанням (вивченням) мовами корінних народів або національних меншин надається в Переліку навчальних програм, підручників та навчальних посібників, рекомендованих Міністерством освіти і науки України, якій постійно оновлюються та доступний на офіційному сайті Інституту модернізації змісту освіти.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Записи в журналі ведуться державною мовою. Усі записи щодо оцінювання різних видів діяльності контролю роблять у формі називного відмінка.</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Основними видами оцінювання навчальних досягнень учнів є поточне та підсумкове (тематичне, семестрове, річне) державна підсумкова атестація.</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Обов’язковому оцінюванню підлягають навчальні досягнення учнів з предметів інваріантної та варіативної складових робочого навчального плану закладу. Не підлягають обов’язковому оцінюванню навчальні досягнення учнів з факультативних, групових та індивідуальних занять, які фіксуються в окремому журналі. </w:t>
      </w:r>
    </w:p>
    <w:p w:rsidR="007A3915" w:rsidRPr="00FB19F9" w:rsidRDefault="007A3915" w:rsidP="007A3915">
      <w:pPr>
        <w:widowControl w:val="0"/>
        <w:spacing w:after="0" w:line="226" w:lineRule="auto"/>
        <w:ind w:firstLine="708"/>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Оцінювання в 5-9 класах  здійснюється відповідно до Критеріїв  оцінювання навчальних досягнень учнів з мов національних меншин  (лист МОН України від 30.08.2013  № 1/9–592 «Методичні рекомендації щодо оцінювання  результатів навчання російської мови та інших мов національних меншин для використання в</w:t>
      </w:r>
      <w:r w:rsidRPr="00FB19F9">
        <w:rPr>
          <w:rFonts w:ascii="Times New Roman" w:eastAsia="Times New Roman" w:hAnsi="Times New Roman" w:cs="Times New Roman"/>
          <w:color w:val="000000"/>
          <w:spacing w:val="-4"/>
          <w:sz w:val="24"/>
          <w:szCs w:val="24"/>
          <w:lang w:eastAsia="uk-UA"/>
        </w:rPr>
        <w:t xml:space="preserve"> закладах загальної середньої освіти</w:t>
      </w:r>
      <w:r w:rsidRPr="00FB19F9">
        <w:rPr>
          <w:rFonts w:ascii="Times New Roman" w:eastAsia="Times New Roman" w:hAnsi="Times New Roman" w:cs="Times New Roman"/>
          <w:spacing w:val="-4"/>
          <w:sz w:val="24"/>
          <w:szCs w:val="24"/>
          <w:lang w:eastAsia="ru-RU"/>
        </w:rPr>
        <w:t>, де навчаються рідною мовою або вивчають її»; у 10-11 класах – за листом МОН України від 22.08.2018 № 2.2-2189 «Методичні рекомендації щодо оцінювання результатів навчання учнів 10—11 класів з інтегрованого курсу «Мова та література корінного народу, національної меншини» у закладах загальної середньої освіти, де навчаються мовою корінного народу або національної меншини».</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Зошити підписуються мовою вивчення.  </w:t>
      </w:r>
    </w:p>
    <w:p w:rsidR="007A3915" w:rsidRPr="00FB19F9" w:rsidRDefault="007A3915" w:rsidP="007A3915">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Ведення зошитів оцінюється у 5-9 класах один раз на тиждень; у 10-11 класах щомісяця протягом семестру і вважається поточною оцінкою. Під час перевірки зошитів ураховується наявність різних видів роботи, грамотність, охайність, уміння правильно оформити роботу.  </w:t>
      </w:r>
    </w:p>
    <w:p w:rsidR="007A3915" w:rsidRPr="00FB19F9" w:rsidRDefault="007A3915" w:rsidP="007A3915">
      <w:pPr>
        <w:widowControl w:val="0"/>
        <w:spacing w:after="0" w:line="226" w:lineRule="auto"/>
        <w:rPr>
          <w:spacing w:val="-4"/>
          <w:sz w:val="24"/>
          <w:szCs w:val="24"/>
        </w:rPr>
      </w:pPr>
      <w:r w:rsidRPr="00FB19F9">
        <w:rPr>
          <w:rFonts w:ascii="Times New Roman" w:eastAsia="Times New Roman" w:hAnsi="Times New Roman" w:cs="Times New Roman"/>
          <w:spacing w:val="-4"/>
          <w:sz w:val="24"/>
          <w:szCs w:val="24"/>
          <w:lang w:eastAsia="ru-RU"/>
        </w:rPr>
        <w:t>Використання зошитів з друкованою основою є необов’язковим, їх використання має бути погоджено з батьками і дирекцією навчального закладу та мати відповідний гриф МОН України або схвалено для використання в закладах загальної середньої освіти.</w:t>
      </w:r>
    </w:p>
    <w:p w:rsidR="008B7AF4" w:rsidRDefault="00C621A9"/>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636F"/>
    <w:multiLevelType w:val="hybridMultilevel"/>
    <w:tmpl w:val="BB02B034"/>
    <w:lvl w:ilvl="0" w:tplc="5872779A">
      <w:start w:val="4"/>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2F4E7E76"/>
    <w:multiLevelType w:val="hybridMultilevel"/>
    <w:tmpl w:val="77F45354"/>
    <w:lvl w:ilvl="0" w:tplc="0DCEDAC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8D"/>
    <w:rsid w:val="00172415"/>
    <w:rsid w:val="007A3915"/>
    <w:rsid w:val="00C621A9"/>
    <w:rsid w:val="00C77C8D"/>
    <w:rsid w:val="00D76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EF5F2-830B-4201-9DDC-7FBE885C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9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915"/>
    <w:rPr>
      <w:b/>
      <w:bCs/>
    </w:rPr>
  </w:style>
  <w:style w:type="character" w:styleId="a4">
    <w:name w:val="Hyperlink"/>
    <w:basedOn w:val="a0"/>
    <w:uiPriority w:val="99"/>
    <w:unhideWhenUsed/>
    <w:rsid w:val="00C62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13715</Words>
  <Characters>7819</Characters>
  <Application>Microsoft Office Word</Application>
  <DocSecurity>0</DocSecurity>
  <Lines>65</Lines>
  <Paragraphs>42</Paragraphs>
  <ScaleCrop>false</ScaleCrop>
  <Company/>
  <LinksUpToDate>false</LinksUpToDate>
  <CharactersWithSpaces>21492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2019-08-23T10:26:00Z</dcterms:created>
  <dcterms:modified xsi:type="dcterms:W3CDTF">2019-08-23T11:07:00Z</dcterms:modified>
</cp:coreProperties>
</file>